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A9" w:rsidRDefault="00C05C81">
      <w:pPr>
        <w:autoSpaceDE w:val="0"/>
        <w:autoSpaceDN w:val="0"/>
        <w:adjustRightInd w:val="0"/>
        <w:spacing w:before="1200" w:after="0"/>
        <w:jc w:val="center"/>
        <w:rPr>
          <w:rFonts w:eastAsiaTheme="minorEastAsia"/>
          <w:kern w:val="0"/>
          <w:sz w:val="24"/>
          <w:szCs w:val="24"/>
        </w:rPr>
      </w:pPr>
      <w:r>
        <w:rPr>
          <w:rFonts w:eastAsiaTheme="minorEastAsia"/>
          <w:noProof/>
          <w:kern w:val="0"/>
          <w:sz w:val="24"/>
          <w:szCs w:val="24"/>
        </w:rPr>
        <w:drawing>
          <wp:inline distT="0" distB="0" distL="0" distR="0">
            <wp:extent cx="1405890" cy="767715"/>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5890" cy="767715"/>
                    </a:xfrm>
                    <a:prstGeom prst="rect">
                      <a:avLst/>
                    </a:prstGeom>
                    <a:noFill/>
                    <a:ln>
                      <a:noFill/>
                    </a:ln>
                  </pic:spPr>
                </pic:pic>
              </a:graphicData>
            </a:graphic>
          </wp:inline>
        </w:drawing>
      </w:r>
    </w:p>
    <w:p w:rsidR="00262BA9" w:rsidRDefault="00684726">
      <w:pPr>
        <w:spacing w:before="200" w:after="200"/>
        <w:jc w:val="center"/>
        <w:rPr>
          <w:b/>
          <w:bCs/>
          <w:sz w:val="36"/>
          <w:szCs w:val="36"/>
        </w:rPr>
      </w:pPr>
      <w:r>
        <w:rPr>
          <w:b/>
          <w:bCs/>
          <w:sz w:val="36"/>
          <w:szCs w:val="36"/>
        </w:rPr>
        <w:t>北京荣之联科技股份有限公司</w:t>
      </w:r>
    </w:p>
    <w:p w:rsidR="00262BA9" w:rsidRDefault="00684726">
      <w:pPr>
        <w:spacing w:before="400" w:after="0"/>
        <w:jc w:val="center"/>
        <w:rPr>
          <w:b/>
          <w:bCs/>
          <w:sz w:val="32"/>
          <w:szCs w:val="32"/>
        </w:rPr>
      </w:pPr>
      <w:r>
        <w:rPr>
          <w:b/>
          <w:bCs/>
          <w:sz w:val="32"/>
          <w:szCs w:val="32"/>
        </w:rPr>
        <w:t>2018</w:t>
      </w:r>
      <w:r>
        <w:rPr>
          <w:b/>
          <w:bCs/>
          <w:sz w:val="32"/>
          <w:szCs w:val="32"/>
        </w:rPr>
        <w:t>年第一季度报告</w:t>
      </w:r>
    </w:p>
    <w:p w:rsidR="00262BA9" w:rsidRDefault="00684726">
      <w:pPr>
        <w:spacing w:before="6000" w:after="0"/>
        <w:jc w:val="center"/>
        <w:rPr>
          <w:b/>
          <w:bCs/>
          <w:sz w:val="32"/>
          <w:szCs w:val="32"/>
        </w:rPr>
      </w:pPr>
      <w:r>
        <w:rPr>
          <w:b/>
          <w:bCs/>
          <w:sz w:val="32"/>
          <w:szCs w:val="32"/>
        </w:rPr>
        <w:t>2018</w:t>
      </w:r>
      <w:r>
        <w:rPr>
          <w:b/>
          <w:bCs/>
          <w:sz w:val="32"/>
          <w:szCs w:val="32"/>
        </w:rPr>
        <w:t>年</w:t>
      </w:r>
      <w:r>
        <w:rPr>
          <w:b/>
          <w:bCs/>
          <w:sz w:val="32"/>
          <w:szCs w:val="32"/>
        </w:rPr>
        <w:t>04</w:t>
      </w:r>
      <w:r>
        <w:rPr>
          <w:b/>
          <w:bCs/>
          <w:sz w:val="32"/>
          <w:szCs w:val="32"/>
        </w:rPr>
        <w:t>月</w:t>
      </w:r>
    </w:p>
    <w:p w:rsidR="00262BA9" w:rsidRDefault="00262BA9">
      <w:pPr>
        <w:spacing w:before="6000" w:after="0"/>
        <w:jc w:val="center"/>
        <w:rPr>
          <w:b/>
          <w:bCs/>
          <w:sz w:val="32"/>
          <w:szCs w:val="32"/>
        </w:rPr>
        <w:sectPr w:rsidR="00262BA9">
          <w:headerReference w:type="default" r:id="rId8"/>
          <w:footerReference w:type="default" r:id="rId9"/>
          <w:pgSz w:w="11906" w:h="16838"/>
          <w:pgMar w:top="1440" w:right="1134" w:bottom="1440" w:left="1134" w:header="720" w:footer="720" w:gutter="0"/>
          <w:cols w:space="720"/>
          <w:noEndnote/>
        </w:sectPr>
      </w:pPr>
    </w:p>
    <w:p w:rsidR="00262BA9" w:rsidRDefault="00684726">
      <w:pPr>
        <w:pStyle w:val="a3"/>
        <w:outlineLvl w:val="0"/>
      </w:pPr>
      <w:bookmarkStart w:id="0" w:name="_Toc300000084"/>
      <w:r>
        <w:lastRenderedPageBreak/>
        <w:t>第一节</w:t>
      </w:r>
      <w:r>
        <w:t xml:space="preserve"> </w:t>
      </w:r>
      <w:r>
        <w:t>重要提示</w:t>
      </w:r>
      <w:bookmarkEnd w:id="0"/>
    </w:p>
    <w:p w:rsidR="00262BA9" w:rsidRDefault="00684726">
      <w:pPr>
        <w:spacing w:before="100" w:after="100"/>
        <w:ind w:firstLineChars="200" w:firstLine="562"/>
        <w:rPr>
          <w:b/>
          <w:bCs/>
          <w:sz w:val="28"/>
          <w:szCs w:val="28"/>
        </w:rPr>
      </w:pPr>
      <w:r>
        <w:rPr>
          <w:b/>
          <w:bCs/>
          <w:sz w:val="28"/>
          <w:szCs w:val="28"/>
        </w:rPr>
        <w:t>公司董事会、监事会及董事、监事、高级管理人员保证季度报告内容的真实、准确、完整，不存在虚假记载、误导性陈述或者重大遗漏，并承担个别和连带的法律责任。</w:t>
      </w:r>
    </w:p>
    <w:p w:rsidR="00262BA9" w:rsidRDefault="00684726">
      <w:pPr>
        <w:spacing w:before="100" w:after="100"/>
        <w:ind w:firstLineChars="200" w:firstLine="562"/>
        <w:rPr>
          <w:b/>
          <w:bCs/>
          <w:sz w:val="28"/>
          <w:szCs w:val="28"/>
        </w:rPr>
      </w:pPr>
      <w:r>
        <w:rPr>
          <w:b/>
          <w:bCs/>
          <w:sz w:val="28"/>
          <w:szCs w:val="28"/>
        </w:rPr>
        <w:t>所有董事均</w:t>
      </w:r>
      <w:proofErr w:type="gramStart"/>
      <w:r>
        <w:rPr>
          <w:b/>
          <w:bCs/>
          <w:sz w:val="28"/>
          <w:szCs w:val="28"/>
        </w:rPr>
        <w:t>已出席</w:t>
      </w:r>
      <w:proofErr w:type="gramEnd"/>
      <w:r>
        <w:rPr>
          <w:b/>
          <w:bCs/>
          <w:sz w:val="28"/>
          <w:szCs w:val="28"/>
        </w:rPr>
        <w:t>了审议本次季报的董事会会议。</w:t>
      </w:r>
    </w:p>
    <w:p w:rsidR="00262BA9" w:rsidRDefault="00684726">
      <w:pPr>
        <w:spacing w:before="100" w:after="100"/>
        <w:ind w:firstLineChars="200" w:firstLine="562"/>
        <w:rPr>
          <w:b/>
          <w:bCs/>
          <w:sz w:val="28"/>
          <w:szCs w:val="28"/>
        </w:rPr>
      </w:pPr>
      <w:r>
        <w:rPr>
          <w:b/>
          <w:bCs/>
          <w:sz w:val="28"/>
          <w:szCs w:val="28"/>
        </w:rPr>
        <w:t>公司负责人王东辉、主管会计工作负责人</w:t>
      </w:r>
      <w:proofErr w:type="gramStart"/>
      <w:r>
        <w:rPr>
          <w:b/>
          <w:bCs/>
          <w:sz w:val="28"/>
          <w:szCs w:val="28"/>
        </w:rPr>
        <w:t>鞠</w:t>
      </w:r>
      <w:proofErr w:type="gramEnd"/>
      <w:r>
        <w:rPr>
          <w:b/>
          <w:bCs/>
          <w:sz w:val="28"/>
          <w:szCs w:val="28"/>
        </w:rPr>
        <w:t>海涛及会计机构负责人</w:t>
      </w:r>
      <w:r>
        <w:rPr>
          <w:b/>
          <w:bCs/>
          <w:sz w:val="28"/>
          <w:szCs w:val="28"/>
        </w:rPr>
        <w:t>(</w:t>
      </w:r>
      <w:r>
        <w:rPr>
          <w:b/>
          <w:bCs/>
          <w:sz w:val="28"/>
          <w:szCs w:val="28"/>
        </w:rPr>
        <w:t>会计主管人员</w:t>
      </w:r>
      <w:r>
        <w:rPr>
          <w:b/>
          <w:bCs/>
          <w:sz w:val="28"/>
          <w:szCs w:val="28"/>
        </w:rPr>
        <w:t>)</w:t>
      </w:r>
      <w:r>
        <w:rPr>
          <w:b/>
          <w:bCs/>
          <w:sz w:val="28"/>
          <w:szCs w:val="28"/>
        </w:rPr>
        <w:t>曾媛声明：保证季度报告中财务报表的真实、准确、完整。</w:t>
      </w:r>
    </w:p>
    <w:p w:rsidR="00262BA9" w:rsidRDefault="00262BA9">
      <w:pPr>
        <w:spacing w:before="100" w:after="100"/>
        <w:ind w:firstLineChars="200" w:firstLine="562"/>
        <w:rPr>
          <w:b/>
          <w:bCs/>
          <w:sz w:val="28"/>
          <w:szCs w:val="28"/>
        </w:rPr>
        <w:sectPr w:rsidR="00262BA9">
          <w:pgSz w:w="11906" w:h="16838"/>
          <w:pgMar w:top="1440" w:right="1134" w:bottom="1440" w:left="1134" w:header="851" w:footer="992" w:gutter="0"/>
          <w:cols w:space="425"/>
          <w:docGrid w:type="lines" w:linePitch="312"/>
        </w:sectPr>
      </w:pPr>
    </w:p>
    <w:p w:rsidR="00262BA9" w:rsidRDefault="00684726">
      <w:pPr>
        <w:pStyle w:val="a3"/>
        <w:outlineLvl w:val="0"/>
      </w:pPr>
      <w:bookmarkStart w:id="1" w:name="_Toc300000085"/>
      <w:r>
        <w:lastRenderedPageBreak/>
        <w:t>第二节</w:t>
      </w:r>
      <w:r>
        <w:t xml:space="preserve"> </w:t>
      </w:r>
      <w:r>
        <w:t>公司基本情况</w:t>
      </w:r>
      <w:bookmarkEnd w:id="1"/>
    </w:p>
    <w:p w:rsidR="00262BA9" w:rsidRDefault="00684726">
      <w:pPr>
        <w:pStyle w:val="Chapter"/>
        <w:outlineLvl w:val="1"/>
      </w:pPr>
      <w:r>
        <w:t>一、主要会计数据和财务指标</w:t>
      </w:r>
    </w:p>
    <w:p w:rsidR="00262BA9" w:rsidRDefault="00684726">
      <w:pPr>
        <w:jc w:val="left"/>
      </w:pPr>
      <w:r>
        <w:t>公司是否需追溯调整或重述以前年度会计数据</w:t>
      </w:r>
    </w:p>
    <w:p w:rsidR="00262BA9" w:rsidRDefault="00684726">
      <w:pPr>
        <w:jc w:val="left"/>
      </w:pPr>
      <w:r>
        <w:t xml:space="preserve">□ </w:t>
      </w:r>
      <w:r>
        <w:t>是</w:t>
      </w:r>
      <w:r>
        <w:t xml:space="preserve"> √ </w:t>
      </w:r>
      <w:r>
        <w:t>否</w:t>
      </w:r>
      <w: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203"/>
        <w:gridCol w:w="2122"/>
        <w:gridCol w:w="2122"/>
        <w:gridCol w:w="2122"/>
      </w:tblGrid>
      <w:tr w:rsidR="00262BA9">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center"/>
            </w:pP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本报告期</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上年同期</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本报告期比上年同期增减</w:t>
            </w:r>
          </w:p>
        </w:tc>
      </w:tr>
      <w:tr w:rsidR="00262BA9">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营业收入（元）</w:t>
            </w:r>
          </w:p>
        </w:tc>
        <w:tc>
          <w:tcPr>
            <w:tcW w:w="2122"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536,610,631.85</w:t>
            </w:r>
          </w:p>
        </w:tc>
        <w:tc>
          <w:tcPr>
            <w:tcW w:w="2122"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299,158,267.63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79.37%</w:t>
            </w:r>
          </w:p>
        </w:tc>
      </w:tr>
      <w:tr w:rsidR="00262BA9">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归属于上市公司股东的净利润（元）</w:t>
            </w:r>
          </w:p>
        </w:tc>
        <w:tc>
          <w:tcPr>
            <w:tcW w:w="2122"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19,543,993.73</w:t>
            </w:r>
          </w:p>
        </w:tc>
        <w:tc>
          <w:tcPr>
            <w:tcW w:w="2122"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2,687,950.24</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627.10%</w:t>
            </w:r>
          </w:p>
        </w:tc>
      </w:tr>
      <w:tr w:rsidR="00262BA9">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归属于上市公司股东的扣除非经常性损益的净利润（元）</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10,525,668.13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198,921.40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5,191.37%</w:t>
            </w:r>
          </w:p>
        </w:tc>
      </w:tr>
      <w:tr w:rsidR="00262BA9">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经营活动产生的现金流量净额（元）</w:t>
            </w:r>
          </w:p>
        </w:tc>
        <w:tc>
          <w:tcPr>
            <w:tcW w:w="2122"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-468,706,958.55</w:t>
            </w:r>
          </w:p>
        </w:tc>
        <w:tc>
          <w:tcPr>
            <w:tcW w:w="2122"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-179,633,900.26</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-160.92%</w:t>
            </w:r>
          </w:p>
        </w:tc>
      </w:tr>
      <w:tr w:rsidR="00262BA9">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基本每股收益（元</w:t>
            </w:r>
            <w:r>
              <w:t>/</w:t>
            </w:r>
            <w:r>
              <w:t>股）</w:t>
            </w:r>
          </w:p>
        </w:tc>
        <w:tc>
          <w:tcPr>
            <w:tcW w:w="2122"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0.0295</w:t>
            </w:r>
          </w:p>
        </w:tc>
        <w:tc>
          <w:tcPr>
            <w:tcW w:w="2122"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0.0042</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602.38%</w:t>
            </w:r>
          </w:p>
        </w:tc>
      </w:tr>
      <w:tr w:rsidR="00262BA9">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稀释每股收益（元</w:t>
            </w:r>
            <w:r>
              <w:t>/</w:t>
            </w:r>
            <w:r>
              <w:t>股）</w:t>
            </w:r>
          </w:p>
        </w:tc>
        <w:tc>
          <w:tcPr>
            <w:tcW w:w="2122"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0.0295</w:t>
            </w:r>
          </w:p>
        </w:tc>
        <w:tc>
          <w:tcPr>
            <w:tcW w:w="2122"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0.0042</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602.38%</w:t>
            </w:r>
          </w:p>
        </w:tc>
      </w:tr>
      <w:tr w:rsidR="00262BA9">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加权平均净资产收益率</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0.43%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0.07%</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0.36%</w:t>
            </w:r>
          </w:p>
        </w:tc>
      </w:tr>
      <w:tr w:rsidR="00262BA9">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pP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本报告期末</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上年度末</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本报告期末比上年度末增减</w:t>
            </w:r>
          </w:p>
        </w:tc>
      </w:tr>
      <w:tr w:rsidR="00262BA9">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总资产（元）</w:t>
            </w:r>
          </w:p>
        </w:tc>
        <w:tc>
          <w:tcPr>
            <w:tcW w:w="2122"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5,995,002,657.82</w:t>
            </w:r>
          </w:p>
        </w:tc>
        <w:tc>
          <w:tcPr>
            <w:tcW w:w="2122"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6,018,589,510.15</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-0.39%</w:t>
            </w:r>
          </w:p>
        </w:tc>
      </w:tr>
      <w:tr w:rsidR="00262BA9">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归属于上市公司股东的净资产（元）</w:t>
            </w:r>
          </w:p>
        </w:tc>
        <w:tc>
          <w:tcPr>
            <w:tcW w:w="2122"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4,209,176,346.57</w:t>
            </w:r>
          </w:p>
        </w:tc>
        <w:tc>
          <w:tcPr>
            <w:tcW w:w="2122"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4,185,573,328.54</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0.56%</w:t>
            </w:r>
          </w:p>
        </w:tc>
      </w:tr>
    </w:tbl>
    <w:p w:rsidR="00262BA9" w:rsidRDefault="00684726">
      <w:pPr>
        <w:jc w:val="left"/>
      </w:pPr>
      <w:r>
        <w:t>非经常性损益项目和金额</w:t>
      </w:r>
    </w:p>
    <w:p w:rsidR="00262BA9" w:rsidRDefault="00684726">
      <w:pPr>
        <w:jc w:val="left"/>
      </w:pPr>
      <w:r>
        <w:t xml:space="preserve">√ </w:t>
      </w:r>
      <w:r>
        <w:t>适用</w:t>
      </w:r>
      <w:r>
        <w:t xml:space="preserve"> □ </w:t>
      </w:r>
      <w:r>
        <w:t>不适用</w:t>
      </w:r>
      <w:r>
        <w:t xml:space="preserve"> </w:t>
      </w:r>
    </w:p>
    <w:p w:rsidR="00262BA9" w:rsidRDefault="00684726">
      <w:pPr>
        <w:jc w:val="right"/>
      </w:pPr>
      <w:r>
        <w:t>单位：元</w:t>
      </w:r>
    </w:p>
    <w:tbl>
      <w:tblPr>
        <w:tblW w:w="0" w:type="auto"/>
        <w:tblInd w:w="28" w:type="dxa"/>
        <w:tblLayout w:type="fixed"/>
        <w:tblCellMar>
          <w:left w:w="28" w:type="dxa"/>
          <w:right w:w="28" w:type="dxa"/>
        </w:tblCellMar>
        <w:tblLook w:val="0000" w:firstRow="0" w:lastRow="0" w:firstColumn="0" w:lastColumn="0" w:noHBand="0" w:noVBand="0"/>
      </w:tblPr>
      <w:tblGrid>
        <w:gridCol w:w="4832"/>
        <w:gridCol w:w="2230"/>
        <w:gridCol w:w="2506"/>
      </w:tblGrid>
      <w:tr w:rsidR="00262BA9">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项目</w:t>
            </w:r>
          </w:p>
        </w:tc>
        <w:tc>
          <w:tcPr>
            <w:tcW w:w="223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年初</w:t>
            </w:r>
            <w:proofErr w:type="gramStart"/>
            <w:r>
              <w:t>至报告</w:t>
            </w:r>
            <w:proofErr w:type="gramEnd"/>
            <w:r>
              <w:t>期期末金额</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说明</w:t>
            </w:r>
          </w:p>
        </w:tc>
      </w:tr>
      <w:tr w:rsidR="00262BA9">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非流动资产处置损益（包括已计提资产减值准备的冲销部分）</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-1,787.71</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left"/>
            </w:pPr>
          </w:p>
        </w:tc>
      </w:tr>
      <w:tr w:rsidR="00262BA9">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计入当期损益的政府补助（与企业业务密切相关，按照国家统一标准定额或定量享受的政府补助除外）</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309,593.88</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left"/>
            </w:pPr>
          </w:p>
        </w:tc>
      </w:tr>
      <w:tr w:rsidR="00262BA9">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委托他人投资或管理资产的损益</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1,369,360.95</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left"/>
            </w:pPr>
          </w:p>
        </w:tc>
      </w:tr>
      <w:tr w:rsidR="00262BA9">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除上述各项之外的其他营业外收入和支出</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8,897,291.98</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left"/>
            </w:pPr>
          </w:p>
        </w:tc>
      </w:tr>
      <w:tr w:rsidR="00262BA9">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减：所得税影响额</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1,556,133.50</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left"/>
            </w:pPr>
          </w:p>
        </w:tc>
      </w:tr>
      <w:tr w:rsidR="00262BA9">
        <w:tc>
          <w:tcPr>
            <w:tcW w:w="483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合计</w:t>
            </w:r>
          </w:p>
        </w:tc>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9,018,325.60</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w:t>
            </w:r>
          </w:p>
        </w:tc>
      </w:tr>
    </w:tbl>
    <w:p w:rsidR="00262BA9" w:rsidRDefault="00684726">
      <w:pPr>
        <w:jc w:val="left"/>
      </w:pPr>
      <w:r>
        <w:t>对公司根据《公开发行证券的公司信息披露解释性公告第</w:t>
      </w:r>
      <w:r>
        <w:t>1</w:t>
      </w:r>
      <w:r>
        <w:t>号</w:t>
      </w:r>
      <w:r>
        <w:t>——</w:t>
      </w:r>
      <w:r>
        <w:t>非经常性损益》定义界定的非经常性损益项目，以及把《公开发行证券的公司信息披露解释性公告第</w:t>
      </w:r>
      <w:r>
        <w:t>1</w:t>
      </w:r>
      <w:r>
        <w:t>号</w:t>
      </w:r>
      <w:r>
        <w:t>——</w:t>
      </w:r>
      <w:r>
        <w:t>非经常性损益》中列举的非经常性损益项目界定为经常性损益的项目，应说明原因</w:t>
      </w:r>
    </w:p>
    <w:p w:rsidR="00262BA9" w:rsidRDefault="00684726">
      <w:pPr>
        <w:jc w:val="left"/>
      </w:pPr>
      <w:r>
        <w:t xml:space="preserve">□ </w:t>
      </w:r>
      <w:r>
        <w:t>适用</w:t>
      </w:r>
      <w:r>
        <w:t xml:space="preserve"> √ </w:t>
      </w:r>
      <w:r>
        <w:t>不适用</w:t>
      </w:r>
      <w:r>
        <w:t xml:space="preserve"> </w:t>
      </w:r>
    </w:p>
    <w:p w:rsidR="00262BA9" w:rsidRDefault="00684726">
      <w:pPr>
        <w:jc w:val="left"/>
      </w:pPr>
      <w:r>
        <w:t>公司报告期不存在将根据《公开发行证券的公司信息披露解释性公告第</w:t>
      </w:r>
      <w:r>
        <w:t>1</w:t>
      </w:r>
      <w:r>
        <w:t>号</w:t>
      </w:r>
      <w:r>
        <w:t>——</w:t>
      </w:r>
      <w:r>
        <w:t>非经常性损益》定义、列举的非经常性损</w:t>
      </w:r>
      <w:r>
        <w:lastRenderedPageBreak/>
        <w:t>益项目界定为经常性损益的项目的情形。</w:t>
      </w:r>
    </w:p>
    <w:p w:rsidR="00262BA9" w:rsidRDefault="00684726">
      <w:pPr>
        <w:pStyle w:val="Chapter"/>
        <w:outlineLvl w:val="1"/>
      </w:pPr>
      <w:r>
        <w:t>二、报告期末股东总数及前十名股东持股情况表</w:t>
      </w:r>
    </w:p>
    <w:p w:rsidR="00262BA9" w:rsidRDefault="00684726">
      <w:pPr>
        <w:pStyle w:val="Section"/>
        <w:outlineLvl w:val="2"/>
      </w:pPr>
      <w:r>
        <w:t>1</w:t>
      </w:r>
      <w:r>
        <w:t>、普通股股东总数和表决权恢复的优先股股东数量及前</w:t>
      </w:r>
      <w:r>
        <w:t>10</w:t>
      </w:r>
      <w:r>
        <w:t>名股东持股情况表</w:t>
      </w:r>
    </w:p>
    <w:p w:rsidR="00262BA9" w:rsidRDefault="00684726">
      <w:pPr>
        <w:jc w:val="right"/>
      </w:pPr>
      <w:r>
        <w:t>单位：股</w:t>
      </w:r>
    </w:p>
    <w:tbl>
      <w:tblPr>
        <w:tblW w:w="0" w:type="auto"/>
        <w:tblInd w:w="28" w:type="dxa"/>
        <w:tblLayout w:type="fixed"/>
        <w:tblCellMar>
          <w:left w:w="28" w:type="dxa"/>
          <w:right w:w="28" w:type="dxa"/>
        </w:tblCellMar>
        <w:tblLook w:val="0000" w:firstRow="0" w:lastRow="0" w:firstColumn="0" w:lastColumn="0" w:noHBand="0" w:noVBand="0"/>
      </w:tblPr>
      <w:tblGrid>
        <w:gridCol w:w="1527"/>
        <w:gridCol w:w="1417"/>
        <w:gridCol w:w="1276"/>
        <w:gridCol w:w="1246"/>
        <w:gridCol w:w="1368"/>
        <w:gridCol w:w="1368"/>
        <w:gridCol w:w="1368"/>
      </w:tblGrid>
      <w:tr w:rsidR="00262BA9" w:rsidTr="001D25DE">
        <w:tc>
          <w:tcPr>
            <w:tcW w:w="294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报告期末普通股股东总数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51,285</w:t>
            </w:r>
          </w:p>
        </w:tc>
        <w:tc>
          <w:tcPr>
            <w:tcW w:w="261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报告期末表决权恢复的优先股股东总数（如有）</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0</w:t>
            </w:r>
          </w:p>
        </w:tc>
      </w:tr>
      <w:tr w:rsidR="00262BA9">
        <w:tc>
          <w:tcPr>
            <w:tcW w:w="9570"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前</w:t>
            </w:r>
            <w:r>
              <w:t>10</w:t>
            </w:r>
            <w:r>
              <w:t>名股东持股情况</w:t>
            </w:r>
          </w:p>
        </w:tc>
      </w:tr>
      <w:tr w:rsidR="00262BA9" w:rsidTr="001D25DE">
        <w:tc>
          <w:tcPr>
            <w:tcW w:w="15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股东名称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股东性质</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持股比例</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持股数量</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持有有限</w:t>
            </w:r>
            <w:proofErr w:type="gramStart"/>
            <w:r>
              <w:t>售条件</w:t>
            </w:r>
            <w:proofErr w:type="gramEnd"/>
            <w:r>
              <w:t>的股份数量</w:t>
            </w:r>
          </w:p>
        </w:tc>
        <w:tc>
          <w:tcPr>
            <w:tcW w:w="273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质押或冻结情况</w:t>
            </w:r>
          </w:p>
        </w:tc>
      </w:tr>
      <w:tr w:rsidR="00262BA9" w:rsidTr="001D25DE">
        <w:tc>
          <w:tcPr>
            <w:tcW w:w="1527"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center"/>
            </w:pPr>
          </w:p>
        </w:tc>
        <w:tc>
          <w:tcPr>
            <w:tcW w:w="1246"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center"/>
            </w:pPr>
          </w:p>
        </w:tc>
        <w:tc>
          <w:tcPr>
            <w:tcW w:w="1368"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cente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股份状态</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数量</w:t>
            </w:r>
          </w:p>
        </w:tc>
      </w:tr>
      <w:tr w:rsidR="00262BA9" w:rsidTr="001D25DE">
        <w:tc>
          <w:tcPr>
            <w:tcW w:w="152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王东辉</w:t>
            </w:r>
          </w:p>
        </w:tc>
        <w:tc>
          <w:tcPr>
            <w:tcW w:w="141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境内自然人</w:t>
            </w:r>
          </w:p>
        </w:tc>
        <w:tc>
          <w:tcPr>
            <w:tcW w:w="127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17.78%</w:t>
            </w:r>
          </w:p>
        </w:tc>
        <w:tc>
          <w:tcPr>
            <w:tcW w:w="124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117,608,893</w:t>
            </w:r>
          </w:p>
        </w:tc>
        <w:tc>
          <w:tcPr>
            <w:tcW w:w="1368"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88,206,670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质押</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109,673,800</w:t>
            </w:r>
          </w:p>
        </w:tc>
      </w:tr>
      <w:tr w:rsidR="00262BA9" w:rsidTr="001D25DE">
        <w:tc>
          <w:tcPr>
            <w:tcW w:w="152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吴敏</w:t>
            </w:r>
          </w:p>
        </w:tc>
        <w:tc>
          <w:tcPr>
            <w:tcW w:w="141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境内自然人</w:t>
            </w:r>
          </w:p>
        </w:tc>
        <w:tc>
          <w:tcPr>
            <w:tcW w:w="127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11.00%</w:t>
            </w:r>
          </w:p>
        </w:tc>
        <w:tc>
          <w:tcPr>
            <w:tcW w:w="124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72,762,009</w:t>
            </w:r>
          </w:p>
        </w:tc>
        <w:tc>
          <w:tcPr>
            <w:tcW w:w="1368"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质押</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54,689,998</w:t>
            </w:r>
          </w:p>
        </w:tc>
      </w:tr>
      <w:tr w:rsidR="00262BA9" w:rsidTr="001D25DE">
        <w:tc>
          <w:tcPr>
            <w:tcW w:w="1527" w:type="dxa"/>
            <w:vMerge w:val="restart"/>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上海翊辉投资管理有限公司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境内非国有法人</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5.67%</w:t>
            </w:r>
          </w:p>
        </w:tc>
        <w:tc>
          <w:tcPr>
            <w:tcW w:w="1246" w:type="dxa"/>
            <w:vMerge w:val="restart"/>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37,479,890</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质押</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37,479,890</w:t>
            </w:r>
          </w:p>
        </w:tc>
      </w:tr>
      <w:tr w:rsidR="00262BA9" w:rsidTr="001D25DE">
        <w:tc>
          <w:tcPr>
            <w:tcW w:w="1527"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right"/>
            </w:pPr>
          </w:p>
        </w:tc>
        <w:tc>
          <w:tcPr>
            <w:tcW w:w="1417"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right"/>
            </w:pPr>
          </w:p>
        </w:tc>
        <w:tc>
          <w:tcPr>
            <w:tcW w:w="1276"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right"/>
            </w:pPr>
          </w:p>
        </w:tc>
        <w:tc>
          <w:tcPr>
            <w:tcW w:w="1246"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right"/>
            </w:pPr>
          </w:p>
        </w:tc>
        <w:tc>
          <w:tcPr>
            <w:tcW w:w="1368"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冻结</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37,479,890</w:t>
            </w:r>
          </w:p>
        </w:tc>
      </w:tr>
      <w:tr w:rsidR="00262BA9" w:rsidTr="001D25DE">
        <w:tc>
          <w:tcPr>
            <w:tcW w:w="152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上海奥力锋投资发展中心</w:t>
            </w:r>
            <w:r>
              <w:t>(</w:t>
            </w:r>
            <w:r>
              <w:t>有限合伙</w:t>
            </w:r>
            <w:r>
              <w:t>)</w:t>
            </w:r>
          </w:p>
        </w:tc>
        <w:tc>
          <w:tcPr>
            <w:tcW w:w="141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境内非国有法人</w:t>
            </w:r>
          </w:p>
        </w:tc>
        <w:tc>
          <w:tcPr>
            <w:tcW w:w="127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4.26%</w:t>
            </w:r>
          </w:p>
        </w:tc>
        <w:tc>
          <w:tcPr>
            <w:tcW w:w="124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28,157,098</w:t>
            </w:r>
          </w:p>
        </w:tc>
        <w:tc>
          <w:tcPr>
            <w:tcW w:w="1368"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质押</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27,810,993</w:t>
            </w:r>
          </w:p>
        </w:tc>
      </w:tr>
      <w:tr w:rsidR="00262BA9" w:rsidTr="001D25DE">
        <w:tc>
          <w:tcPr>
            <w:tcW w:w="152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霍向琦</w:t>
            </w:r>
          </w:p>
        </w:tc>
        <w:tc>
          <w:tcPr>
            <w:tcW w:w="141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境内自然人</w:t>
            </w:r>
          </w:p>
        </w:tc>
        <w:tc>
          <w:tcPr>
            <w:tcW w:w="127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3.58%</w:t>
            </w:r>
          </w:p>
        </w:tc>
        <w:tc>
          <w:tcPr>
            <w:tcW w:w="124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23,652,933</w:t>
            </w:r>
          </w:p>
        </w:tc>
        <w:tc>
          <w:tcPr>
            <w:tcW w:w="1368"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17,739,700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质押</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23,652,933</w:t>
            </w:r>
          </w:p>
        </w:tc>
      </w:tr>
      <w:tr w:rsidR="00262BA9" w:rsidTr="001D25DE">
        <w:tc>
          <w:tcPr>
            <w:tcW w:w="152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孙志民</w:t>
            </w:r>
          </w:p>
        </w:tc>
        <w:tc>
          <w:tcPr>
            <w:tcW w:w="141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境内自然人</w:t>
            </w:r>
          </w:p>
        </w:tc>
        <w:tc>
          <w:tcPr>
            <w:tcW w:w="127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3.57%</w:t>
            </w:r>
          </w:p>
        </w:tc>
        <w:tc>
          <w:tcPr>
            <w:tcW w:w="124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23,613,647</w:t>
            </w:r>
          </w:p>
        </w:tc>
        <w:tc>
          <w:tcPr>
            <w:tcW w:w="1368"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23,613,647</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pPr>
          </w:p>
        </w:tc>
      </w:tr>
      <w:tr w:rsidR="00262BA9" w:rsidTr="001D25DE">
        <w:tc>
          <w:tcPr>
            <w:tcW w:w="152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proofErr w:type="gramStart"/>
            <w:r>
              <w:t>华润深国</w:t>
            </w:r>
            <w:proofErr w:type="gramEnd"/>
            <w:r>
              <w:t>投信托有限公司－</w:t>
            </w:r>
            <w:proofErr w:type="gramStart"/>
            <w:r>
              <w:t>睿</w:t>
            </w:r>
            <w:proofErr w:type="gramEnd"/>
            <w:r>
              <w:t>宏</w:t>
            </w:r>
            <w:r>
              <w:t>3</w:t>
            </w:r>
            <w:r>
              <w:t>号单一资金信托</w:t>
            </w:r>
          </w:p>
        </w:tc>
        <w:tc>
          <w:tcPr>
            <w:tcW w:w="141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其他</w:t>
            </w:r>
          </w:p>
        </w:tc>
        <w:tc>
          <w:tcPr>
            <w:tcW w:w="127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2.77%</w:t>
            </w:r>
          </w:p>
        </w:tc>
        <w:tc>
          <w:tcPr>
            <w:tcW w:w="124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18,299,000</w:t>
            </w:r>
          </w:p>
        </w:tc>
        <w:tc>
          <w:tcPr>
            <w:tcW w:w="1368"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pPr>
          </w:p>
        </w:tc>
      </w:tr>
      <w:tr w:rsidR="00262BA9" w:rsidTr="001D25DE">
        <w:tc>
          <w:tcPr>
            <w:tcW w:w="152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深圳</w:t>
            </w:r>
            <w:proofErr w:type="gramStart"/>
            <w:r>
              <w:t>平安大华汇</w:t>
            </w:r>
            <w:proofErr w:type="gramEnd"/>
            <w:r>
              <w:t>通财富－平安银行－</w:t>
            </w:r>
            <w:proofErr w:type="gramStart"/>
            <w:r>
              <w:t>中融国际</w:t>
            </w:r>
            <w:proofErr w:type="gramEnd"/>
            <w:r>
              <w:t>信托－中融－财富</w:t>
            </w:r>
            <w:proofErr w:type="gramStart"/>
            <w:r>
              <w:t>骐骥定增</w:t>
            </w:r>
            <w:proofErr w:type="gramEnd"/>
            <w:r>
              <w:t>31</w:t>
            </w:r>
            <w:r>
              <w:t>号集合资金信托计划</w:t>
            </w:r>
          </w:p>
        </w:tc>
        <w:tc>
          <w:tcPr>
            <w:tcW w:w="141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其他</w:t>
            </w:r>
          </w:p>
        </w:tc>
        <w:tc>
          <w:tcPr>
            <w:tcW w:w="127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1.70%</w:t>
            </w:r>
          </w:p>
        </w:tc>
        <w:tc>
          <w:tcPr>
            <w:tcW w:w="124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11,216,351</w:t>
            </w:r>
          </w:p>
        </w:tc>
        <w:tc>
          <w:tcPr>
            <w:tcW w:w="1368"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pPr>
          </w:p>
        </w:tc>
      </w:tr>
      <w:tr w:rsidR="00262BA9" w:rsidTr="001D25DE">
        <w:tc>
          <w:tcPr>
            <w:tcW w:w="152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中央汇金资产管理有限责任公司</w:t>
            </w:r>
          </w:p>
        </w:tc>
        <w:tc>
          <w:tcPr>
            <w:tcW w:w="141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国有法人</w:t>
            </w:r>
          </w:p>
        </w:tc>
        <w:tc>
          <w:tcPr>
            <w:tcW w:w="127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0.97%</w:t>
            </w:r>
          </w:p>
        </w:tc>
        <w:tc>
          <w:tcPr>
            <w:tcW w:w="124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6,432,750</w:t>
            </w:r>
          </w:p>
        </w:tc>
        <w:tc>
          <w:tcPr>
            <w:tcW w:w="1368"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pPr>
          </w:p>
        </w:tc>
      </w:tr>
      <w:tr w:rsidR="00262BA9" w:rsidTr="001D25DE">
        <w:tc>
          <w:tcPr>
            <w:tcW w:w="152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张彤</w:t>
            </w:r>
          </w:p>
        </w:tc>
        <w:tc>
          <w:tcPr>
            <w:tcW w:w="1417" w:type="dxa"/>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境内自然人</w:t>
            </w:r>
          </w:p>
        </w:tc>
        <w:tc>
          <w:tcPr>
            <w:tcW w:w="127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0.83%</w:t>
            </w:r>
          </w:p>
        </w:tc>
        <w:tc>
          <w:tcPr>
            <w:tcW w:w="1246"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5,464,125</w:t>
            </w:r>
          </w:p>
        </w:tc>
        <w:tc>
          <w:tcPr>
            <w:tcW w:w="1368" w:type="dxa"/>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4,098,094</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pPr>
          </w:p>
        </w:tc>
      </w:tr>
      <w:tr w:rsidR="00262BA9">
        <w:tc>
          <w:tcPr>
            <w:tcW w:w="9570"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前</w:t>
            </w:r>
            <w:r>
              <w:t>10</w:t>
            </w:r>
            <w:r>
              <w:t>名无限</w:t>
            </w:r>
            <w:proofErr w:type="gramStart"/>
            <w:r>
              <w:t>售条件</w:t>
            </w:r>
            <w:proofErr w:type="gramEnd"/>
            <w:r>
              <w:t>股东持股情况</w:t>
            </w:r>
          </w:p>
        </w:tc>
      </w:tr>
      <w:tr w:rsidR="00262BA9" w:rsidTr="00B57D27">
        <w:tc>
          <w:tcPr>
            <w:tcW w:w="2944"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股东名称</w:t>
            </w:r>
          </w:p>
        </w:tc>
        <w:tc>
          <w:tcPr>
            <w:tcW w:w="3890"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持有无限</w:t>
            </w:r>
            <w:proofErr w:type="gramStart"/>
            <w:r>
              <w:t>售条件</w:t>
            </w:r>
            <w:proofErr w:type="gramEnd"/>
            <w:r>
              <w:t>股份数量</w:t>
            </w:r>
          </w:p>
        </w:tc>
        <w:tc>
          <w:tcPr>
            <w:tcW w:w="273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股份种类</w:t>
            </w:r>
          </w:p>
        </w:tc>
      </w:tr>
      <w:tr w:rsidR="00262BA9" w:rsidTr="00B57D27">
        <w:tc>
          <w:tcPr>
            <w:tcW w:w="2944" w:type="dxa"/>
            <w:gridSpan w:val="2"/>
            <w:vMerge/>
            <w:tcBorders>
              <w:top w:val="single" w:sz="4" w:space="0" w:color="auto"/>
              <w:left w:val="single" w:sz="4" w:space="0" w:color="auto"/>
              <w:bottom w:val="single" w:sz="4" w:space="0" w:color="auto"/>
              <w:right w:val="single" w:sz="4" w:space="0" w:color="auto"/>
            </w:tcBorders>
            <w:vAlign w:val="center"/>
          </w:tcPr>
          <w:p w:rsidR="00262BA9" w:rsidRDefault="00262BA9">
            <w:pPr>
              <w:jc w:val="center"/>
            </w:pPr>
          </w:p>
        </w:tc>
        <w:tc>
          <w:tcPr>
            <w:tcW w:w="3890" w:type="dxa"/>
            <w:gridSpan w:val="3"/>
            <w:vMerge/>
            <w:tcBorders>
              <w:top w:val="single" w:sz="4" w:space="0" w:color="auto"/>
              <w:left w:val="single" w:sz="4" w:space="0" w:color="auto"/>
              <w:bottom w:val="single" w:sz="4" w:space="0" w:color="auto"/>
              <w:right w:val="single" w:sz="4" w:space="0" w:color="auto"/>
            </w:tcBorders>
            <w:vAlign w:val="center"/>
          </w:tcPr>
          <w:p w:rsidR="00262BA9" w:rsidRDefault="00262BA9">
            <w:pPr>
              <w:jc w:val="cente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股份种类</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pPr>
            <w:r>
              <w:t>数量</w:t>
            </w:r>
          </w:p>
        </w:tc>
      </w:tr>
      <w:tr w:rsidR="00262BA9" w:rsidTr="00B57D27">
        <w:tc>
          <w:tcPr>
            <w:tcW w:w="2944" w:type="dxa"/>
            <w:gridSpan w:val="2"/>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吴敏</w:t>
            </w:r>
          </w:p>
        </w:tc>
        <w:tc>
          <w:tcPr>
            <w:tcW w:w="3890" w:type="dxa"/>
            <w:gridSpan w:val="3"/>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72,762,009</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72,762,009</w:t>
            </w:r>
          </w:p>
        </w:tc>
      </w:tr>
      <w:tr w:rsidR="00262BA9" w:rsidTr="00B57D27">
        <w:tc>
          <w:tcPr>
            <w:tcW w:w="2944" w:type="dxa"/>
            <w:gridSpan w:val="2"/>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上海翊辉投资管理有限公司</w:t>
            </w:r>
          </w:p>
        </w:tc>
        <w:tc>
          <w:tcPr>
            <w:tcW w:w="3890" w:type="dxa"/>
            <w:gridSpan w:val="3"/>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37,479,890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37,479,890</w:t>
            </w:r>
          </w:p>
        </w:tc>
      </w:tr>
      <w:tr w:rsidR="00262BA9" w:rsidTr="00B57D27">
        <w:tc>
          <w:tcPr>
            <w:tcW w:w="2944" w:type="dxa"/>
            <w:gridSpan w:val="2"/>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王东辉</w:t>
            </w:r>
          </w:p>
        </w:tc>
        <w:tc>
          <w:tcPr>
            <w:tcW w:w="3890" w:type="dxa"/>
            <w:gridSpan w:val="3"/>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29,402,223</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29,402,223</w:t>
            </w:r>
          </w:p>
        </w:tc>
      </w:tr>
      <w:tr w:rsidR="00262BA9" w:rsidTr="00B57D27">
        <w:tc>
          <w:tcPr>
            <w:tcW w:w="2944" w:type="dxa"/>
            <w:gridSpan w:val="2"/>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lastRenderedPageBreak/>
              <w:t>上海奥力锋投资发展中心</w:t>
            </w:r>
            <w:r>
              <w:t>(</w:t>
            </w:r>
            <w:r>
              <w:t>有限合伙</w:t>
            </w:r>
            <w:r>
              <w:t>)</w:t>
            </w:r>
          </w:p>
        </w:tc>
        <w:tc>
          <w:tcPr>
            <w:tcW w:w="3890" w:type="dxa"/>
            <w:gridSpan w:val="3"/>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28,157,098</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28,157,098</w:t>
            </w:r>
          </w:p>
        </w:tc>
      </w:tr>
      <w:tr w:rsidR="00262BA9" w:rsidTr="00B57D27">
        <w:tc>
          <w:tcPr>
            <w:tcW w:w="2944" w:type="dxa"/>
            <w:gridSpan w:val="2"/>
            <w:tcBorders>
              <w:top w:val="single" w:sz="4" w:space="0" w:color="auto"/>
              <w:left w:val="single" w:sz="4" w:space="0" w:color="auto"/>
              <w:bottom w:val="single" w:sz="4" w:space="0" w:color="auto"/>
              <w:right w:val="single" w:sz="4" w:space="0" w:color="auto"/>
            </w:tcBorders>
            <w:vAlign w:val="center"/>
          </w:tcPr>
          <w:p w:rsidR="00262BA9" w:rsidRDefault="00684726">
            <w:pPr>
              <w:jc w:val="left"/>
            </w:pPr>
            <w:proofErr w:type="gramStart"/>
            <w:r>
              <w:t>华润深国</w:t>
            </w:r>
            <w:proofErr w:type="gramEnd"/>
            <w:r>
              <w:t>投信托有限公司－</w:t>
            </w:r>
            <w:proofErr w:type="gramStart"/>
            <w:r>
              <w:t>睿</w:t>
            </w:r>
            <w:proofErr w:type="gramEnd"/>
            <w:r>
              <w:t>宏</w:t>
            </w:r>
            <w:r>
              <w:t>3</w:t>
            </w:r>
            <w:r>
              <w:t>号单一资金信托</w:t>
            </w:r>
          </w:p>
        </w:tc>
        <w:tc>
          <w:tcPr>
            <w:tcW w:w="3890" w:type="dxa"/>
            <w:gridSpan w:val="3"/>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18,299,000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18,299,000</w:t>
            </w:r>
          </w:p>
        </w:tc>
      </w:tr>
      <w:tr w:rsidR="00262BA9" w:rsidTr="00B57D27">
        <w:tc>
          <w:tcPr>
            <w:tcW w:w="2944" w:type="dxa"/>
            <w:gridSpan w:val="2"/>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深圳</w:t>
            </w:r>
            <w:proofErr w:type="gramStart"/>
            <w:r>
              <w:t>平安大华汇</w:t>
            </w:r>
            <w:proofErr w:type="gramEnd"/>
            <w:r>
              <w:t>通财富－平安银行－</w:t>
            </w:r>
            <w:proofErr w:type="gramStart"/>
            <w:r>
              <w:t>中融国际</w:t>
            </w:r>
            <w:proofErr w:type="gramEnd"/>
            <w:r>
              <w:t>信托－中融－财富</w:t>
            </w:r>
            <w:proofErr w:type="gramStart"/>
            <w:r>
              <w:t>骐骥定增</w:t>
            </w:r>
            <w:proofErr w:type="gramEnd"/>
            <w:r>
              <w:t>31</w:t>
            </w:r>
            <w:r>
              <w:t>号集合资金信托计划</w:t>
            </w:r>
          </w:p>
        </w:tc>
        <w:tc>
          <w:tcPr>
            <w:tcW w:w="3890" w:type="dxa"/>
            <w:gridSpan w:val="3"/>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11,216,351</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11,216,351</w:t>
            </w:r>
          </w:p>
        </w:tc>
      </w:tr>
      <w:tr w:rsidR="00262BA9" w:rsidTr="00B57D27">
        <w:tc>
          <w:tcPr>
            <w:tcW w:w="2944" w:type="dxa"/>
            <w:gridSpan w:val="2"/>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中央汇金资产管理有限责任公司</w:t>
            </w:r>
          </w:p>
        </w:tc>
        <w:tc>
          <w:tcPr>
            <w:tcW w:w="3890" w:type="dxa"/>
            <w:gridSpan w:val="3"/>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6,432,750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6,432,750</w:t>
            </w:r>
          </w:p>
        </w:tc>
      </w:tr>
      <w:tr w:rsidR="00262BA9" w:rsidTr="00B57D27">
        <w:tc>
          <w:tcPr>
            <w:tcW w:w="2944" w:type="dxa"/>
            <w:gridSpan w:val="2"/>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霍向琦</w:t>
            </w:r>
          </w:p>
        </w:tc>
        <w:tc>
          <w:tcPr>
            <w:tcW w:w="3890" w:type="dxa"/>
            <w:gridSpan w:val="3"/>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5,913,233</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5,913,233</w:t>
            </w:r>
          </w:p>
        </w:tc>
      </w:tr>
      <w:tr w:rsidR="00262BA9" w:rsidTr="00B57D27">
        <w:tc>
          <w:tcPr>
            <w:tcW w:w="2944" w:type="dxa"/>
            <w:gridSpan w:val="2"/>
            <w:tcBorders>
              <w:top w:val="single" w:sz="4" w:space="0" w:color="auto"/>
              <w:left w:val="single" w:sz="4" w:space="0" w:color="auto"/>
              <w:bottom w:val="single" w:sz="4" w:space="0" w:color="auto"/>
              <w:right w:val="single" w:sz="4" w:space="0" w:color="auto"/>
            </w:tcBorders>
            <w:vAlign w:val="center"/>
          </w:tcPr>
          <w:p w:rsidR="00262BA9" w:rsidRDefault="00684726">
            <w:pPr>
              <w:jc w:val="left"/>
            </w:pPr>
            <w:r>
              <w:t>西藏自治区投资有限公司</w:t>
            </w:r>
          </w:p>
        </w:tc>
        <w:tc>
          <w:tcPr>
            <w:tcW w:w="3890" w:type="dxa"/>
            <w:gridSpan w:val="3"/>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4,028,538</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4,028,538</w:t>
            </w:r>
          </w:p>
        </w:tc>
      </w:tr>
      <w:tr w:rsidR="00262BA9" w:rsidTr="00B57D27">
        <w:tc>
          <w:tcPr>
            <w:tcW w:w="2944" w:type="dxa"/>
            <w:gridSpan w:val="2"/>
            <w:tcBorders>
              <w:top w:val="single" w:sz="4" w:space="0" w:color="auto"/>
              <w:left w:val="single" w:sz="4" w:space="0" w:color="auto"/>
              <w:bottom w:val="single" w:sz="4" w:space="0" w:color="auto"/>
              <w:right w:val="single" w:sz="4" w:space="0" w:color="auto"/>
            </w:tcBorders>
            <w:vAlign w:val="center"/>
          </w:tcPr>
          <w:p w:rsidR="00262BA9" w:rsidRDefault="00684726">
            <w:pPr>
              <w:jc w:val="left"/>
            </w:pPr>
            <w:proofErr w:type="gramStart"/>
            <w:r>
              <w:t>孙鸿</w:t>
            </w:r>
            <w:proofErr w:type="gramEnd"/>
          </w:p>
        </w:tc>
        <w:tc>
          <w:tcPr>
            <w:tcW w:w="3890" w:type="dxa"/>
            <w:gridSpan w:val="3"/>
            <w:tcBorders>
              <w:top w:val="single" w:sz="4" w:space="0" w:color="auto"/>
              <w:left w:val="single" w:sz="4" w:space="0" w:color="auto"/>
              <w:bottom w:val="single" w:sz="4" w:space="0" w:color="auto"/>
              <w:right w:val="single" w:sz="4" w:space="0" w:color="auto"/>
            </w:tcBorders>
            <w:vAlign w:val="center"/>
          </w:tcPr>
          <w:p w:rsidR="00262BA9" w:rsidRDefault="00684726">
            <w:pPr>
              <w:jc w:val="right"/>
            </w:pPr>
            <w:r>
              <w:t>3,953,500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人民币普通股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pPr>
            <w:r>
              <w:t>3,953,500</w:t>
            </w:r>
          </w:p>
        </w:tc>
      </w:tr>
      <w:tr w:rsidR="00262BA9" w:rsidTr="00B57D27">
        <w:tc>
          <w:tcPr>
            <w:tcW w:w="294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上述股东关联关系或一致行动的说明</w:t>
            </w:r>
          </w:p>
        </w:tc>
        <w:tc>
          <w:tcPr>
            <w:tcW w:w="662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C5139" w:rsidRDefault="00684726">
            <w:pPr>
              <w:jc w:val="left"/>
            </w:pPr>
            <w:r>
              <w:t>1</w:t>
            </w:r>
            <w:r>
              <w:t>、公司</w:t>
            </w:r>
            <w:r>
              <w:t>5%</w:t>
            </w:r>
            <w:r>
              <w:t>以上股东王东辉、吴敏为夫妻关系。</w:t>
            </w:r>
            <w:r>
              <w:t xml:space="preserve"> </w:t>
            </w:r>
          </w:p>
          <w:p w:rsidR="00CC5139" w:rsidRDefault="00684726">
            <w:pPr>
              <w:jc w:val="left"/>
            </w:pPr>
            <w:r>
              <w:t>2</w:t>
            </w:r>
            <w:r>
              <w:t>、华润深国投信托有限公司－</w:t>
            </w:r>
            <w:proofErr w:type="gramStart"/>
            <w:r>
              <w:t>睿</w:t>
            </w:r>
            <w:proofErr w:type="gramEnd"/>
            <w:r>
              <w:t>宏</w:t>
            </w:r>
            <w:r>
              <w:t>3</w:t>
            </w:r>
            <w:r>
              <w:t>号单一资金信托为公司第一期员工持股计划所持有的公司股份。</w:t>
            </w:r>
            <w:r>
              <w:t xml:space="preserve"> </w:t>
            </w:r>
          </w:p>
          <w:p w:rsidR="00262BA9" w:rsidRDefault="00684726">
            <w:pPr>
              <w:jc w:val="left"/>
            </w:pPr>
            <w:r>
              <w:t>3</w:t>
            </w:r>
            <w:r>
              <w:t>、公司未知其它前</w:t>
            </w:r>
            <w:r>
              <w:t>10</w:t>
            </w:r>
            <w:r>
              <w:t>名股东之间是否存在关联关系或属于《上市公司收购管理办法》规定的一致行动人。</w:t>
            </w:r>
          </w:p>
        </w:tc>
      </w:tr>
      <w:tr w:rsidR="00262BA9" w:rsidTr="00B57D27">
        <w:tc>
          <w:tcPr>
            <w:tcW w:w="294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pPr>
            <w:r>
              <w:t>前</w:t>
            </w:r>
            <w:r>
              <w:t>10</w:t>
            </w:r>
            <w:r>
              <w:t>名普通股股东参与融资融券业务情况说明（如有）</w:t>
            </w:r>
          </w:p>
        </w:tc>
        <w:tc>
          <w:tcPr>
            <w:tcW w:w="662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pPr>
            <w:r>
              <w:t>无</w:t>
            </w:r>
          </w:p>
        </w:tc>
      </w:tr>
    </w:tbl>
    <w:p w:rsidR="00262BA9" w:rsidRDefault="00684726">
      <w:pPr>
        <w:jc w:val="left"/>
      </w:pPr>
      <w:r>
        <w:t>公司前</w:t>
      </w:r>
      <w:r>
        <w:t>10</w:t>
      </w:r>
      <w:r>
        <w:t>名普通股股东、前</w:t>
      </w:r>
      <w:r>
        <w:t>10</w:t>
      </w:r>
      <w:r>
        <w:t>名无限</w:t>
      </w:r>
      <w:proofErr w:type="gramStart"/>
      <w:r>
        <w:t>售条件</w:t>
      </w:r>
      <w:proofErr w:type="gramEnd"/>
      <w:r>
        <w:t>普通股股东在报告期内是否进行约定购回交易</w:t>
      </w:r>
    </w:p>
    <w:p w:rsidR="00262BA9" w:rsidRDefault="00684726">
      <w:pPr>
        <w:jc w:val="left"/>
      </w:pPr>
      <w:r>
        <w:t xml:space="preserve">□ </w:t>
      </w:r>
      <w:r>
        <w:t>是</w:t>
      </w:r>
      <w:r>
        <w:t xml:space="preserve"> √ </w:t>
      </w:r>
      <w:r>
        <w:t>否</w:t>
      </w:r>
      <w:r>
        <w:t xml:space="preserve"> </w:t>
      </w:r>
    </w:p>
    <w:p w:rsidR="00262BA9" w:rsidRDefault="00684726">
      <w:pPr>
        <w:jc w:val="left"/>
      </w:pPr>
      <w:r>
        <w:t>公司前</w:t>
      </w:r>
      <w:r>
        <w:t>10</w:t>
      </w:r>
      <w:r>
        <w:t>名普通股股东、前</w:t>
      </w:r>
      <w:r>
        <w:t>10</w:t>
      </w:r>
      <w:r>
        <w:t>名无限</w:t>
      </w:r>
      <w:proofErr w:type="gramStart"/>
      <w:r>
        <w:t>售条件</w:t>
      </w:r>
      <w:proofErr w:type="gramEnd"/>
      <w:r>
        <w:t>普通股股东在报告期内未进行约定购回交易。</w:t>
      </w:r>
    </w:p>
    <w:p w:rsidR="00262BA9" w:rsidRDefault="00684726">
      <w:pPr>
        <w:pStyle w:val="Section"/>
        <w:outlineLvl w:val="2"/>
      </w:pPr>
      <w:r>
        <w:t>2</w:t>
      </w:r>
      <w:r>
        <w:t>、公司优先股股东总数及前</w:t>
      </w:r>
      <w:r>
        <w:t>10</w:t>
      </w:r>
      <w:r>
        <w:t>名优先股股东持股情况表</w:t>
      </w:r>
    </w:p>
    <w:p w:rsidR="00262BA9" w:rsidRDefault="00684726">
      <w:pPr>
        <w:jc w:val="left"/>
      </w:pPr>
      <w:r>
        <w:t xml:space="preserve">□ </w:t>
      </w:r>
      <w:r>
        <w:t>适用</w:t>
      </w:r>
      <w:r>
        <w:t xml:space="preserve"> √ </w:t>
      </w:r>
      <w:r>
        <w:t>不适用</w:t>
      </w:r>
      <w:r>
        <w:t xml:space="preserve"> </w:t>
      </w:r>
    </w:p>
    <w:p w:rsidR="00262BA9" w:rsidRDefault="00262BA9">
      <w:pPr>
        <w:jc w:val="left"/>
        <w:sectPr w:rsidR="00262BA9">
          <w:pgSz w:w="11906" w:h="16838"/>
          <w:pgMar w:top="1440" w:right="1134" w:bottom="1440" w:left="1134" w:header="851" w:footer="992" w:gutter="0"/>
          <w:cols w:space="425"/>
          <w:docGrid w:type="lines" w:linePitch="312"/>
        </w:sectPr>
      </w:pPr>
    </w:p>
    <w:p w:rsidR="00262BA9" w:rsidRDefault="00684726">
      <w:pPr>
        <w:pStyle w:val="a3"/>
        <w:outlineLvl w:val="0"/>
      </w:pPr>
      <w:bookmarkStart w:id="2" w:name="_Toc300000086"/>
      <w:r>
        <w:lastRenderedPageBreak/>
        <w:t>第三节</w:t>
      </w:r>
      <w:r>
        <w:t xml:space="preserve"> </w:t>
      </w:r>
      <w:r>
        <w:t>重要事项</w:t>
      </w:r>
      <w:bookmarkEnd w:id="2"/>
    </w:p>
    <w:p w:rsidR="00262BA9" w:rsidRDefault="00684726">
      <w:pPr>
        <w:pStyle w:val="Chapter"/>
        <w:outlineLvl w:val="1"/>
      </w:pPr>
      <w:r>
        <w:t>一、报告期主要财务数据、财务指标发生变动的情况及原因</w:t>
      </w:r>
    </w:p>
    <w:p w:rsidR="00262BA9" w:rsidRDefault="00684726">
      <w:pPr>
        <w:jc w:val="left"/>
      </w:pPr>
      <w:r>
        <w:t xml:space="preserve">√ </w:t>
      </w:r>
      <w:r>
        <w:t>适用</w:t>
      </w:r>
      <w:r>
        <w:t xml:space="preserve"> □ </w:t>
      </w:r>
      <w:r>
        <w:t>不适用</w:t>
      </w:r>
      <w:r>
        <w:t xml:space="preserve"> </w:t>
      </w:r>
    </w:p>
    <w:p w:rsidR="00262BA9" w:rsidRDefault="00684726">
      <w:pPr>
        <w:autoSpaceDE w:val="0"/>
        <w:autoSpaceDN w:val="0"/>
        <w:adjustRightInd w:val="0"/>
        <w:spacing w:before="100" w:after="0"/>
        <w:jc w:val="left"/>
        <w:rPr>
          <w:rFonts w:eastAsia="Times New Roman"/>
          <w:kern w:val="0"/>
          <w:lang w:val="zh-CN"/>
        </w:rPr>
      </w:pPr>
      <w:r>
        <w:rPr>
          <w:rFonts w:eastAsia="Times New Roman"/>
          <w:kern w:val="0"/>
          <w:lang w:val="zh-CN"/>
        </w:rPr>
        <w:t>1</w:t>
      </w:r>
      <w:r>
        <w:rPr>
          <w:rFonts w:ascii="宋体" w:hAnsi="宋体" w:cs="宋体" w:hint="eastAsia"/>
          <w:kern w:val="0"/>
          <w:lang w:val="zh-CN"/>
        </w:rPr>
        <w:t>、资产负债表主要变动科目分析</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399"/>
        <w:gridCol w:w="1476"/>
        <w:gridCol w:w="1656"/>
        <w:gridCol w:w="1605"/>
        <w:gridCol w:w="1112"/>
        <w:gridCol w:w="6219"/>
      </w:tblGrid>
      <w:tr w:rsidR="00262BA9" w:rsidTr="00A64B05">
        <w:tc>
          <w:tcPr>
            <w:tcW w:w="1399"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项目</w:t>
            </w:r>
          </w:p>
        </w:tc>
        <w:tc>
          <w:tcPr>
            <w:tcW w:w="1476"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期末余额</w:t>
            </w:r>
          </w:p>
        </w:tc>
        <w:tc>
          <w:tcPr>
            <w:tcW w:w="1656"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期初余额</w:t>
            </w:r>
          </w:p>
        </w:tc>
        <w:tc>
          <w:tcPr>
            <w:tcW w:w="1605"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增减变动</w:t>
            </w:r>
          </w:p>
        </w:tc>
        <w:tc>
          <w:tcPr>
            <w:tcW w:w="1112"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变动比例</w:t>
            </w:r>
          </w:p>
        </w:tc>
        <w:tc>
          <w:tcPr>
            <w:tcW w:w="6219"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变动原因说明</w:t>
            </w:r>
          </w:p>
        </w:tc>
      </w:tr>
      <w:tr w:rsidR="00262BA9">
        <w:tc>
          <w:tcPr>
            <w:tcW w:w="1399"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货币资金</w:t>
            </w:r>
          </w:p>
        </w:tc>
        <w:tc>
          <w:tcPr>
            <w:tcW w:w="147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695,138,558.32</w:t>
            </w:r>
          </w:p>
        </w:tc>
        <w:tc>
          <w:tcPr>
            <w:tcW w:w="165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1,199,141,128.43</w:t>
            </w:r>
          </w:p>
        </w:tc>
        <w:tc>
          <w:tcPr>
            <w:tcW w:w="1605"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-504,002,570.11</w:t>
            </w:r>
          </w:p>
        </w:tc>
        <w:tc>
          <w:tcPr>
            <w:tcW w:w="1112"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-42.03%</w:t>
            </w:r>
          </w:p>
        </w:tc>
        <w:tc>
          <w:tcPr>
            <w:tcW w:w="6219"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减少的原因主要是购买理财产品以及支付</w:t>
            </w:r>
            <w:proofErr w:type="gramStart"/>
            <w:r>
              <w:rPr>
                <w:rFonts w:ascii="宋体" w:hAnsi="宋体" w:cs="宋体" w:hint="eastAsia"/>
                <w:kern w:val="0"/>
                <w:lang w:val="zh-CN"/>
              </w:rPr>
              <w:t>赞融电子</w:t>
            </w:r>
            <w:proofErr w:type="gramEnd"/>
            <w:r>
              <w:rPr>
                <w:rFonts w:ascii="宋体" w:hAnsi="宋体" w:cs="宋体" w:hint="eastAsia"/>
                <w:kern w:val="0"/>
                <w:lang w:val="zh-CN"/>
              </w:rPr>
              <w:t>原股东股权转让款</w:t>
            </w:r>
            <w:r>
              <w:rPr>
                <w:rFonts w:eastAsia="Times New Roman"/>
                <w:kern w:val="0"/>
                <w:lang w:val="zh-CN"/>
              </w:rPr>
              <w:t>1.2</w:t>
            </w:r>
            <w:r>
              <w:rPr>
                <w:rFonts w:ascii="宋体" w:hAnsi="宋体" w:cs="宋体" w:hint="eastAsia"/>
                <w:kern w:val="0"/>
                <w:lang w:val="zh-CN"/>
              </w:rPr>
              <w:t>亿，报告期末购买理财产品</w:t>
            </w:r>
            <w:r>
              <w:rPr>
                <w:rFonts w:eastAsia="Times New Roman"/>
                <w:kern w:val="0"/>
                <w:lang w:val="zh-CN"/>
              </w:rPr>
              <w:t>3.8</w:t>
            </w:r>
            <w:r>
              <w:rPr>
                <w:rFonts w:ascii="宋体" w:hAnsi="宋体" w:cs="宋体" w:hint="eastAsia"/>
                <w:kern w:val="0"/>
                <w:lang w:val="zh-CN"/>
              </w:rPr>
              <w:t>亿在其他流动资产中核算</w:t>
            </w:r>
          </w:p>
        </w:tc>
      </w:tr>
      <w:tr w:rsidR="00262BA9">
        <w:tc>
          <w:tcPr>
            <w:tcW w:w="1399"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应收票据</w:t>
            </w:r>
          </w:p>
        </w:tc>
        <w:tc>
          <w:tcPr>
            <w:tcW w:w="147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16,090,073.20</w:t>
            </w:r>
          </w:p>
        </w:tc>
        <w:tc>
          <w:tcPr>
            <w:tcW w:w="165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27,473,011.20</w:t>
            </w:r>
          </w:p>
        </w:tc>
        <w:tc>
          <w:tcPr>
            <w:tcW w:w="1605"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-11,382,938.00</w:t>
            </w:r>
          </w:p>
        </w:tc>
        <w:tc>
          <w:tcPr>
            <w:tcW w:w="1112"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-41.43%</w:t>
            </w:r>
          </w:p>
        </w:tc>
        <w:tc>
          <w:tcPr>
            <w:tcW w:w="6219"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减少的原因主要是期末票据到期承兑，且以票据结算的销售货款减少</w:t>
            </w:r>
          </w:p>
        </w:tc>
      </w:tr>
      <w:tr w:rsidR="00262BA9">
        <w:tc>
          <w:tcPr>
            <w:tcW w:w="1399"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其他流动资产</w:t>
            </w:r>
          </w:p>
        </w:tc>
        <w:tc>
          <w:tcPr>
            <w:tcW w:w="147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388,278,301.76</w:t>
            </w:r>
          </w:p>
        </w:tc>
        <w:tc>
          <w:tcPr>
            <w:tcW w:w="165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6,183,172.38</w:t>
            </w:r>
          </w:p>
        </w:tc>
        <w:tc>
          <w:tcPr>
            <w:tcW w:w="1605"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382,095,129.38</w:t>
            </w:r>
          </w:p>
        </w:tc>
        <w:tc>
          <w:tcPr>
            <w:tcW w:w="1112"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6179.60%</w:t>
            </w:r>
          </w:p>
        </w:tc>
        <w:tc>
          <w:tcPr>
            <w:tcW w:w="6219"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增加的原因主要是期末购买的理财产品增加</w:t>
            </w:r>
          </w:p>
        </w:tc>
      </w:tr>
      <w:tr w:rsidR="00262BA9">
        <w:tc>
          <w:tcPr>
            <w:tcW w:w="1399"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在建工程</w:t>
            </w:r>
          </w:p>
        </w:tc>
        <w:tc>
          <w:tcPr>
            <w:tcW w:w="147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141,509.43</w:t>
            </w:r>
          </w:p>
        </w:tc>
        <w:tc>
          <w:tcPr>
            <w:tcW w:w="1656" w:type="dxa"/>
          </w:tcPr>
          <w:p w:rsidR="00262BA9" w:rsidRDefault="00262BA9">
            <w:pPr>
              <w:autoSpaceDE w:val="0"/>
              <w:autoSpaceDN w:val="0"/>
              <w:adjustRightInd w:val="0"/>
              <w:spacing w:before="0" w:after="0"/>
              <w:jc w:val="center"/>
              <w:rPr>
                <w:rFonts w:eastAsia="Times New Roman"/>
                <w:kern w:val="0"/>
                <w:lang w:val="zh-CN"/>
              </w:rPr>
            </w:pPr>
          </w:p>
        </w:tc>
        <w:tc>
          <w:tcPr>
            <w:tcW w:w="1605"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141,509.43</w:t>
            </w:r>
          </w:p>
        </w:tc>
        <w:tc>
          <w:tcPr>
            <w:tcW w:w="1112"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100.00%</w:t>
            </w:r>
          </w:p>
        </w:tc>
        <w:tc>
          <w:tcPr>
            <w:tcW w:w="6219"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增加的原因主要是</w:t>
            </w:r>
            <w:proofErr w:type="gramStart"/>
            <w:r>
              <w:rPr>
                <w:rFonts w:ascii="宋体" w:hAnsi="宋体" w:cs="宋体" w:hint="eastAsia"/>
                <w:kern w:val="0"/>
                <w:lang w:val="zh-CN"/>
              </w:rPr>
              <w:t>昌平云</w:t>
            </w:r>
            <w:proofErr w:type="gramEnd"/>
            <w:r>
              <w:rPr>
                <w:rFonts w:ascii="宋体" w:hAnsi="宋体" w:cs="宋体" w:hint="eastAsia"/>
                <w:kern w:val="0"/>
                <w:lang w:val="zh-CN"/>
              </w:rPr>
              <w:t>计算中心项目开始建设，发生的投入</w:t>
            </w:r>
          </w:p>
        </w:tc>
      </w:tr>
      <w:tr w:rsidR="00262BA9">
        <w:tc>
          <w:tcPr>
            <w:tcW w:w="1399"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短期借款</w:t>
            </w:r>
          </w:p>
        </w:tc>
        <w:tc>
          <w:tcPr>
            <w:tcW w:w="147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410,000,000.00</w:t>
            </w:r>
          </w:p>
        </w:tc>
        <w:tc>
          <w:tcPr>
            <w:tcW w:w="165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221,816,664.53</w:t>
            </w:r>
          </w:p>
        </w:tc>
        <w:tc>
          <w:tcPr>
            <w:tcW w:w="1605"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188,183,335.47</w:t>
            </w:r>
          </w:p>
        </w:tc>
        <w:tc>
          <w:tcPr>
            <w:tcW w:w="1112"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84.84%</w:t>
            </w:r>
          </w:p>
        </w:tc>
        <w:tc>
          <w:tcPr>
            <w:tcW w:w="6219"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增加的原因主要是为补充公司营运资金，增加银行贷款所致</w:t>
            </w:r>
          </w:p>
        </w:tc>
      </w:tr>
      <w:tr w:rsidR="00262BA9">
        <w:tc>
          <w:tcPr>
            <w:tcW w:w="1399"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应付票据</w:t>
            </w:r>
          </w:p>
        </w:tc>
        <w:tc>
          <w:tcPr>
            <w:tcW w:w="147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747,268.00</w:t>
            </w:r>
          </w:p>
        </w:tc>
        <w:tc>
          <w:tcPr>
            <w:tcW w:w="165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165,607,853.34</w:t>
            </w:r>
          </w:p>
        </w:tc>
        <w:tc>
          <w:tcPr>
            <w:tcW w:w="1605"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-164,860,585.34</w:t>
            </w:r>
          </w:p>
        </w:tc>
        <w:tc>
          <w:tcPr>
            <w:tcW w:w="1112"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-99.55%</w:t>
            </w:r>
          </w:p>
        </w:tc>
        <w:tc>
          <w:tcPr>
            <w:tcW w:w="6219"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减少的原因主要是票据到期承兑，且本年使用票据结算货款减少</w:t>
            </w:r>
          </w:p>
        </w:tc>
      </w:tr>
      <w:tr w:rsidR="00262BA9">
        <w:tc>
          <w:tcPr>
            <w:tcW w:w="1399"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预收款项</w:t>
            </w:r>
          </w:p>
        </w:tc>
        <w:tc>
          <w:tcPr>
            <w:tcW w:w="147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134,134,859.42</w:t>
            </w:r>
          </w:p>
        </w:tc>
        <w:tc>
          <w:tcPr>
            <w:tcW w:w="165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247,797,415.24</w:t>
            </w:r>
          </w:p>
        </w:tc>
        <w:tc>
          <w:tcPr>
            <w:tcW w:w="1605"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-113,662,555.82</w:t>
            </w:r>
          </w:p>
        </w:tc>
        <w:tc>
          <w:tcPr>
            <w:tcW w:w="1112"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-45.87%</w:t>
            </w:r>
          </w:p>
        </w:tc>
        <w:tc>
          <w:tcPr>
            <w:tcW w:w="6219"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减少的原因主要是期初预收款合同在本期符合收入确认条件，核销预收</w:t>
            </w:r>
          </w:p>
        </w:tc>
      </w:tr>
      <w:tr w:rsidR="00262BA9">
        <w:tc>
          <w:tcPr>
            <w:tcW w:w="1399"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应付职工薪酬</w:t>
            </w:r>
          </w:p>
        </w:tc>
        <w:tc>
          <w:tcPr>
            <w:tcW w:w="147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877,508.59</w:t>
            </w:r>
          </w:p>
        </w:tc>
        <w:tc>
          <w:tcPr>
            <w:tcW w:w="165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4,537,638.73</w:t>
            </w:r>
          </w:p>
        </w:tc>
        <w:tc>
          <w:tcPr>
            <w:tcW w:w="1605"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-3,660,130.14</w:t>
            </w:r>
          </w:p>
        </w:tc>
        <w:tc>
          <w:tcPr>
            <w:tcW w:w="1112"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-80.66%</w:t>
            </w:r>
          </w:p>
        </w:tc>
        <w:tc>
          <w:tcPr>
            <w:tcW w:w="6219"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减少的原因主要是本期发放</w:t>
            </w:r>
            <w:r>
              <w:rPr>
                <w:rFonts w:eastAsia="Times New Roman"/>
                <w:kern w:val="0"/>
                <w:lang w:val="zh-CN"/>
              </w:rPr>
              <w:t>2017</w:t>
            </w:r>
            <w:r>
              <w:rPr>
                <w:rFonts w:ascii="宋体" w:hAnsi="宋体" w:cs="宋体" w:hint="eastAsia"/>
                <w:kern w:val="0"/>
                <w:lang w:val="zh-CN"/>
              </w:rPr>
              <w:t>年底计提的薪资奖金</w:t>
            </w:r>
          </w:p>
        </w:tc>
      </w:tr>
      <w:tr w:rsidR="00262BA9">
        <w:tc>
          <w:tcPr>
            <w:tcW w:w="1399"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其他应付款</w:t>
            </w:r>
          </w:p>
        </w:tc>
        <w:tc>
          <w:tcPr>
            <w:tcW w:w="147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191,200,104.57</w:t>
            </w:r>
          </w:p>
        </w:tc>
        <w:tc>
          <w:tcPr>
            <w:tcW w:w="165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313,278,565.59</w:t>
            </w:r>
          </w:p>
        </w:tc>
        <w:tc>
          <w:tcPr>
            <w:tcW w:w="1605"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-122,078,461.02</w:t>
            </w:r>
          </w:p>
        </w:tc>
        <w:tc>
          <w:tcPr>
            <w:tcW w:w="1112"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-38.97%</w:t>
            </w:r>
          </w:p>
        </w:tc>
        <w:tc>
          <w:tcPr>
            <w:tcW w:w="6219"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减少的原因主要是本期支付</w:t>
            </w:r>
            <w:proofErr w:type="gramStart"/>
            <w:r>
              <w:rPr>
                <w:rFonts w:ascii="宋体" w:hAnsi="宋体" w:cs="宋体" w:hint="eastAsia"/>
                <w:kern w:val="0"/>
                <w:lang w:val="zh-CN"/>
              </w:rPr>
              <w:t>赞融电子</w:t>
            </w:r>
            <w:proofErr w:type="gramEnd"/>
            <w:r>
              <w:rPr>
                <w:rFonts w:ascii="宋体" w:hAnsi="宋体" w:cs="宋体" w:hint="eastAsia"/>
                <w:kern w:val="0"/>
                <w:lang w:val="zh-CN"/>
              </w:rPr>
              <w:t>原股东股权转让款</w:t>
            </w:r>
            <w:r>
              <w:rPr>
                <w:rFonts w:eastAsia="Times New Roman"/>
                <w:kern w:val="0"/>
                <w:lang w:val="zh-CN"/>
              </w:rPr>
              <w:t>1.2</w:t>
            </w:r>
            <w:r>
              <w:rPr>
                <w:rFonts w:ascii="宋体" w:hAnsi="宋体" w:cs="宋体" w:hint="eastAsia"/>
                <w:kern w:val="0"/>
                <w:lang w:val="zh-CN"/>
              </w:rPr>
              <w:t>亿元</w:t>
            </w:r>
          </w:p>
        </w:tc>
      </w:tr>
      <w:tr w:rsidR="00262BA9">
        <w:tc>
          <w:tcPr>
            <w:tcW w:w="1399"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一年内到期的非流动负债</w:t>
            </w:r>
          </w:p>
        </w:tc>
        <w:tc>
          <w:tcPr>
            <w:tcW w:w="147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95,500,000.00</w:t>
            </w:r>
          </w:p>
        </w:tc>
        <w:tc>
          <w:tcPr>
            <w:tcW w:w="165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22,000,000.00</w:t>
            </w:r>
          </w:p>
        </w:tc>
        <w:tc>
          <w:tcPr>
            <w:tcW w:w="1605"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73,500,000.00</w:t>
            </w:r>
          </w:p>
        </w:tc>
        <w:tc>
          <w:tcPr>
            <w:tcW w:w="1112"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334.09%</w:t>
            </w:r>
          </w:p>
        </w:tc>
        <w:tc>
          <w:tcPr>
            <w:tcW w:w="6219"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增加的原因主要是公司为支付收购</w:t>
            </w:r>
            <w:proofErr w:type="gramStart"/>
            <w:r>
              <w:rPr>
                <w:rFonts w:ascii="宋体" w:hAnsi="宋体" w:cs="宋体" w:hint="eastAsia"/>
                <w:kern w:val="0"/>
                <w:lang w:val="zh-CN"/>
              </w:rPr>
              <w:t>赞融电子</w:t>
            </w:r>
            <w:proofErr w:type="gramEnd"/>
            <w:r>
              <w:rPr>
                <w:rFonts w:ascii="宋体" w:hAnsi="宋体" w:cs="宋体" w:hint="eastAsia"/>
                <w:kern w:val="0"/>
                <w:lang w:val="zh-CN"/>
              </w:rPr>
              <w:t>股权的现金对价部分，向银行贷款，贷款合同约定按季归还本金，一年内须归还的本金在本科目核算</w:t>
            </w:r>
          </w:p>
        </w:tc>
      </w:tr>
      <w:tr w:rsidR="00262BA9">
        <w:tc>
          <w:tcPr>
            <w:tcW w:w="1399"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长期借款</w:t>
            </w:r>
          </w:p>
        </w:tc>
        <w:tc>
          <w:tcPr>
            <w:tcW w:w="147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343,000,000.00</w:t>
            </w:r>
          </w:p>
        </w:tc>
        <w:tc>
          <w:tcPr>
            <w:tcW w:w="1656"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128,000,000.00</w:t>
            </w:r>
          </w:p>
        </w:tc>
        <w:tc>
          <w:tcPr>
            <w:tcW w:w="1605"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215,000,000.00</w:t>
            </w:r>
          </w:p>
        </w:tc>
        <w:tc>
          <w:tcPr>
            <w:tcW w:w="1112"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167.97%</w:t>
            </w:r>
          </w:p>
        </w:tc>
        <w:tc>
          <w:tcPr>
            <w:tcW w:w="6219"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增加的原因主要是公司为支付收购</w:t>
            </w:r>
            <w:proofErr w:type="gramStart"/>
            <w:r>
              <w:rPr>
                <w:rFonts w:ascii="宋体" w:hAnsi="宋体" w:cs="宋体" w:hint="eastAsia"/>
                <w:kern w:val="0"/>
                <w:lang w:val="zh-CN"/>
              </w:rPr>
              <w:t>赞融电子</w:t>
            </w:r>
            <w:proofErr w:type="gramEnd"/>
            <w:r>
              <w:rPr>
                <w:rFonts w:ascii="宋体" w:hAnsi="宋体" w:cs="宋体" w:hint="eastAsia"/>
                <w:kern w:val="0"/>
                <w:lang w:val="zh-CN"/>
              </w:rPr>
              <w:t>股权的现金对价部分，向银行贷款</w:t>
            </w:r>
          </w:p>
        </w:tc>
      </w:tr>
    </w:tbl>
    <w:p w:rsidR="00262BA9" w:rsidRDefault="00684726">
      <w:pPr>
        <w:autoSpaceDE w:val="0"/>
        <w:autoSpaceDN w:val="0"/>
        <w:adjustRightInd w:val="0"/>
        <w:spacing w:before="0" w:after="0"/>
        <w:jc w:val="left"/>
        <w:rPr>
          <w:rFonts w:eastAsia="Times New Roman"/>
          <w:kern w:val="0"/>
          <w:lang w:val="zh-CN"/>
        </w:rPr>
      </w:pPr>
      <w:r>
        <w:rPr>
          <w:rFonts w:eastAsia="Times New Roman"/>
          <w:kern w:val="0"/>
          <w:lang w:val="zh-CN"/>
        </w:rPr>
        <w:t>2</w:t>
      </w:r>
      <w:r>
        <w:rPr>
          <w:rFonts w:ascii="宋体" w:hAnsi="宋体" w:cs="宋体" w:hint="eastAsia"/>
          <w:kern w:val="0"/>
          <w:lang w:val="zh-CN"/>
        </w:rPr>
        <w:t>、利润表主要变动科目分析</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418"/>
        <w:gridCol w:w="1802"/>
        <w:gridCol w:w="1600"/>
        <w:gridCol w:w="1680"/>
        <w:gridCol w:w="1120"/>
        <w:gridCol w:w="5847"/>
      </w:tblGrid>
      <w:tr w:rsidR="00262BA9" w:rsidTr="00A64B05">
        <w:tc>
          <w:tcPr>
            <w:tcW w:w="1418"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项目</w:t>
            </w:r>
          </w:p>
        </w:tc>
        <w:tc>
          <w:tcPr>
            <w:tcW w:w="1802"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本期金额</w:t>
            </w:r>
          </w:p>
        </w:tc>
        <w:tc>
          <w:tcPr>
            <w:tcW w:w="1600"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上期金额</w:t>
            </w:r>
          </w:p>
        </w:tc>
        <w:tc>
          <w:tcPr>
            <w:tcW w:w="1680"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增减变动</w:t>
            </w:r>
          </w:p>
        </w:tc>
        <w:tc>
          <w:tcPr>
            <w:tcW w:w="1120"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变动比例</w:t>
            </w:r>
          </w:p>
        </w:tc>
        <w:tc>
          <w:tcPr>
            <w:tcW w:w="5847"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变动原因说明</w:t>
            </w:r>
          </w:p>
        </w:tc>
      </w:tr>
      <w:tr w:rsidR="00262BA9">
        <w:tc>
          <w:tcPr>
            <w:tcW w:w="1418"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营业收入</w:t>
            </w:r>
          </w:p>
        </w:tc>
        <w:tc>
          <w:tcPr>
            <w:tcW w:w="1802"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536,610,631.85</w:t>
            </w:r>
          </w:p>
        </w:tc>
        <w:tc>
          <w:tcPr>
            <w:tcW w:w="160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299,158,267.63</w:t>
            </w:r>
          </w:p>
        </w:tc>
        <w:tc>
          <w:tcPr>
            <w:tcW w:w="168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237,452,364.22</w:t>
            </w:r>
          </w:p>
        </w:tc>
        <w:tc>
          <w:tcPr>
            <w:tcW w:w="112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79.37%</w:t>
            </w:r>
          </w:p>
        </w:tc>
        <w:tc>
          <w:tcPr>
            <w:tcW w:w="5847"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增加的原因主要是</w:t>
            </w:r>
            <w:r>
              <w:rPr>
                <w:rFonts w:eastAsia="Times New Roman"/>
                <w:kern w:val="0"/>
                <w:lang w:val="zh-CN"/>
              </w:rPr>
              <w:t>17</w:t>
            </w:r>
            <w:r>
              <w:rPr>
                <w:rFonts w:ascii="宋体" w:hAnsi="宋体" w:cs="宋体" w:hint="eastAsia"/>
                <w:kern w:val="0"/>
                <w:lang w:val="zh-CN"/>
              </w:rPr>
              <w:t>年底公司收购</w:t>
            </w:r>
            <w:proofErr w:type="gramStart"/>
            <w:r>
              <w:rPr>
                <w:rFonts w:ascii="宋体" w:hAnsi="宋体" w:cs="宋体" w:hint="eastAsia"/>
                <w:kern w:val="0"/>
                <w:lang w:val="zh-CN"/>
              </w:rPr>
              <w:t>赞融电子</w:t>
            </w:r>
            <w:proofErr w:type="gramEnd"/>
            <w:r>
              <w:rPr>
                <w:rFonts w:ascii="宋体" w:hAnsi="宋体" w:cs="宋体" w:hint="eastAsia"/>
                <w:kern w:val="0"/>
                <w:lang w:val="zh-CN"/>
              </w:rPr>
              <w:t>的股权，本期合并范围</w:t>
            </w:r>
            <w:proofErr w:type="gramStart"/>
            <w:r>
              <w:rPr>
                <w:rFonts w:ascii="宋体" w:hAnsi="宋体" w:cs="宋体" w:hint="eastAsia"/>
                <w:kern w:val="0"/>
                <w:lang w:val="zh-CN"/>
              </w:rPr>
              <w:t>增加赞融电子</w:t>
            </w:r>
            <w:proofErr w:type="gramEnd"/>
            <w:r>
              <w:rPr>
                <w:rFonts w:ascii="宋体" w:hAnsi="宋体" w:cs="宋体" w:hint="eastAsia"/>
                <w:kern w:val="0"/>
                <w:lang w:val="zh-CN"/>
              </w:rPr>
              <w:t>，增加收入约</w:t>
            </w:r>
            <w:r>
              <w:rPr>
                <w:rFonts w:eastAsia="Times New Roman"/>
                <w:kern w:val="0"/>
                <w:lang w:val="zh-CN"/>
              </w:rPr>
              <w:t>1.6</w:t>
            </w:r>
            <w:r>
              <w:rPr>
                <w:rFonts w:ascii="宋体" w:hAnsi="宋体" w:cs="宋体" w:hint="eastAsia"/>
                <w:kern w:val="0"/>
                <w:lang w:val="zh-CN"/>
              </w:rPr>
              <w:t>亿元</w:t>
            </w:r>
          </w:p>
        </w:tc>
      </w:tr>
      <w:tr w:rsidR="00262BA9">
        <w:tc>
          <w:tcPr>
            <w:tcW w:w="1418"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营业成本</w:t>
            </w:r>
          </w:p>
        </w:tc>
        <w:tc>
          <w:tcPr>
            <w:tcW w:w="1802"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390,966,144.45</w:t>
            </w:r>
          </w:p>
        </w:tc>
        <w:tc>
          <w:tcPr>
            <w:tcW w:w="160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188,778,007.71</w:t>
            </w:r>
          </w:p>
        </w:tc>
        <w:tc>
          <w:tcPr>
            <w:tcW w:w="168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202,188,136.74</w:t>
            </w:r>
          </w:p>
        </w:tc>
        <w:tc>
          <w:tcPr>
            <w:tcW w:w="112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107.10%</w:t>
            </w:r>
          </w:p>
        </w:tc>
        <w:tc>
          <w:tcPr>
            <w:tcW w:w="5847"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增加的原因主要是</w:t>
            </w:r>
            <w:r>
              <w:rPr>
                <w:rFonts w:eastAsia="Times New Roman"/>
                <w:kern w:val="0"/>
                <w:lang w:val="zh-CN"/>
              </w:rPr>
              <w:t>17</w:t>
            </w:r>
            <w:r>
              <w:rPr>
                <w:rFonts w:ascii="宋体" w:hAnsi="宋体" w:cs="宋体" w:hint="eastAsia"/>
                <w:kern w:val="0"/>
                <w:lang w:val="zh-CN"/>
              </w:rPr>
              <w:t>年底公司收购</w:t>
            </w:r>
            <w:proofErr w:type="gramStart"/>
            <w:r>
              <w:rPr>
                <w:rFonts w:ascii="宋体" w:hAnsi="宋体" w:cs="宋体" w:hint="eastAsia"/>
                <w:kern w:val="0"/>
                <w:lang w:val="zh-CN"/>
              </w:rPr>
              <w:t>赞融电子</w:t>
            </w:r>
            <w:proofErr w:type="gramEnd"/>
            <w:r>
              <w:rPr>
                <w:rFonts w:ascii="宋体" w:hAnsi="宋体" w:cs="宋体" w:hint="eastAsia"/>
                <w:kern w:val="0"/>
                <w:lang w:val="zh-CN"/>
              </w:rPr>
              <w:t>的股权，本期合并范围增加</w:t>
            </w:r>
            <w:proofErr w:type="gramStart"/>
            <w:r>
              <w:rPr>
                <w:rFonts w:ascii="宋体" w:hAnsi="宋体" w:cs="宋体" w:hint="eastAsia"/>
                <w:kern w:val="0"/>
                <w:lang w:val="zh-CN"/>
              </w:rPr>
              <w:t>赞融电子</w:t>
            </w:r>
            <w:proofErr w:type="gramEnd"/>
            <w:r>
              <w:rPr>
                <w:rFonts w:ascii="宋体" w:hAnsi="宋体" w:cs="宋体" w:hint="eastAsia"/>
                <w:kern w:val="0"/>
                <w:lang w:val="zh-CN"/>
              </w:rPr>
              <w:t>导致成本增加</w:t>
            </w:r>
          </w:p>
        </w:tc>
      </w:tr>
      <w:tr w:rsidR="00262BA9">
        <w:tc>
          <w:tcPr>
            <w:tcW w:w="1418"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lastRenderedPageBreak/>
              <w:t>税金及附加</w:t>
            </w:r>
          </w:p>
        </w:tc>
        <w:tc>
          <w:tcPr>
            <w:tcW w:w="1802" w:type="dxa"/>
          </w:tcPr>
          <w:p w:rsidR="00262BA9" w:rsidRDefault="00684726">
            <w:pPr>
              <w:autoSpaceDE w:val="0"/>
              <w:autoSpaceDN w:val="0"/>
              <w:adjustRightInd w:val="0"/>
              <w:spacing w:before="0" w:after="0"/>
              <w:jc w:val="left"/>
              <w:rPr>
                <w:rFonts w:eastAsia="Times New Roman"/>
                <w:kern w:val="0"/>
                <w:lang w:val="zh-CN"/>
              </w:rPr>
            </w:pPr>
            <w:r>
              <w:rPr>
                <w:rFonts w:eastAsia="Times New Roman"/>
                <w:kern w:val="0"/>
                <w:lang w:val="zh-CN"/>
              </w:rPr>
              <w:t xml:space="preserve">      942,955.25 </w:t>
            </w:r>
          </w:p>
        </w:tc>
        <w:tc>
          <w:tcPr>
            <w:tcW w:w="1600" w:type="dxa"/>
          </w:tcPr>
          <w:p w:rsidR="00262BA9" w:rsidRDefault="00684726">
            <w:pPr>
              <w:autoSpaceDE w:val="0"/>
              <w:autoSpaceDN w:val="0"/>
              <w:adjustRightInd w:val="0"/>
              <w:spacing w:before="0" w:after="0"/>
              <w:jc w:val="left"/>
              <w:rPr>
                <w:rFonts w:eastAsia="Times New Roman"/>
                <w:kern w:val="0"/>
                <w:lang w:val="zh-CN"/>
              </w:rPr>
            </w:pPr>
            <w:r>
              <w:rPr>
                <w:rFonts w:eastAsia="Times New Roman"/>
                <w:kern w:val="0"/>
                <w:lang w:val="zh-CN"/>
              </w:rPr>
              <w:t xml:space="preserve">     695,142.38 </w:t>
            </w:r>
          </w:p>
        </w:tc>
        <w:tc>
          <w:tcPr>
            <w:tcW w:w="168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 xml:space="preserve">      247,812.87 </w:t>
            </w:r>
          </w:p>
        </w:tc>
        <w:tc>
          <w:tcPr>
            <w:tcW w:w="1120" w:type="dxa"/>
          </w:tcPr>
          <w:p w:rsidR="00262BA9" w:rsidRDefault="00684726">
            <w:pPr>
              <w:autoSpaceDE w:val="0"/>
              <w:autoSpaceDN w:val="0"/>
              <w:adjustRightInd w:val="0"/>
              <w:spacing w:before="0" w:after="0"/>
              <w:jc w:val="right"/>
              <w:rPr>
                <w:rFonts w:eastAsia="Times New Roman"/>
                <w:kern w:val="0"/>
                <w:lang w:val="zh-CN"/>
              </w:rPr>
            </w:pPr>
            <w:r>
              <w:rPr>
                <w:rFonts w:eastAsia="Times New Roman"/>
                <w:kern w:val="0"/>
                <w:lang w:val="zh-CN"/>
              </w:rPr>
              <w:t>35.65%</w:t>
            </w:r>
          </w:p>
        </w:tc>
        <w:tc>
          <w:tcPr>
            <w:tcW w:w="5847"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增加原因主要是公司收入规模增长，缴纳的税金及附加同比增长</w:t>
            </w:r>
          </w:p>
        </w:tc>
      </w:tr>
      <w:tr w:rsidR="00262BA9">
        <w:tc>
          <w:tcPr>
            <w:tcW w:w="1418"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资产减值损失</w:t>
            </w:r>
          </w:p>
        </w:tc>
        <w:tc>
          <w:tcPr>
            <w:tcW w:w="1802" w:type="dxa"/>
          </w:tcPr>
          <w:p w:rsidR="00262BA9" w:rsidRDefault="00684726">
            <w:pPr>
              <w:autoSpaceDE w:val="0"/>
              <w:autoSpaceDN w:val="0"/>
              <w:adjustRightInd w:val="0"/>
              <w:spacing w:before="0" w:after="0"/>
              <w:jc w:val="left"/>
              <w:rPr>
                <w:rFonts w:eastAsia="Times New Roman"/>
                <w:kern w:val="0"/>
                <w:lang w:val="zh-CN"/>
              </w:rPr>
            </w:pPr>
            <w:r>
              <w:rPr>
                <w:rFonts w:eastAsia="Times New Roman"/>
                <w:kern w:val="0"/>
                <w:lang w:val="zh-CN"/>
              </w:rPr>
              <w:t xml:space="preserve">   -3,004,860.11 </w:t>
            </w:r>
          </w:p>
        </w:tc>
        <w:tc>
          <w:tcPr>
            <w:tcW w:w="1600" w:type="dxa"/>
          </w:tcPr>
          <w:p w:rsidR="00262BA9" w:rsidRDefault="00684726">
            <w:pPr>
              <w:autoSpaceDE w:val="0"/>
              <w:autoSpaceDN w:val="0"/>
              <w:adjustRightInd w:val="0"/>
              <w:spacing w:before="0" w:after="0"/>
              <w:jc w:val="left"/>
              <w:rPr>
                <w:rFonts w:eastAsia="Times New Roman"/>
                <w:kern w:val="0"/>
                <w:lang w:val="zh-CN"/>
              </w:rPr>
            </w:pPr>
            <w:r>
              <w:rPr>
                <w:rFonts w:eastAsia="Times New Roman"/>
                <w:kern w:val="0"/>
                <w:lang w:val="zh-CN"/>
              </w:rPr>
              <w:t xml:space="preserve">   4,448,808.73 </w:t>
            </w:r>
          </w:p>
        </w:tc>
        <w:tc>
          <w:tcPr>
            <w:tcW w:w="168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 xml:space="preserve">   -7,453,668.84 </w:t>
            </w:r>
          </w:p>
        </w:tc>
        <w:tc>
          <w:tcPr>
            <w:tcW w:w="1120" w:type="dxa"/>
          </w:tcPr>
          <w:p w:rsidR="00262BA9" w:rsidRDefault="00684726">
            <w:pPr>
              <w:autoSpaceDE w:val="0"/>
              <w:autoSpaceDN w:val="0"/>
              <w:adjustRightInd w:val="0"/>
              <w:spacing w:before="0" w:after="0"/>
              <w:jc w:val="right"/>
              <w:rPr>
                <w:rFonts w:eastAsia="Times New Roman"/>
                <w:kern w:val="0"/>
                <w:lang w:val="zh-CN"/>
              </w:rPr>
            </w:pPr>
            <w:r>
              <w:rPr>
                <w:rFonts w:eastAsia="Times New Roman"/>
                <w:kern w:val="0"/>
                <w:lang w:val="zh-CN"/>
              </w:rPr>
              <w:t>-167.54%</w:t>
            </w:r>
          </w:p>
        </w:tc>
        <w:tc>
          <w:tcPr>
            <w:tcW w:w="5847"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减少的原因主要是本期收回账龄较长的应收账款，</w:t>
            </w:r>
            <w:proofErr w:type="gramStart"/>
            <w:r>
              <w:rPr>
                <w:rFonts w:ascii="宋体" w:hAnsi="宋体" w:cs="宋体" w:hint="eastAsia"/>
                <w:kern w:val="0"/>
                <w:lang w:val="zh-CN"/>
              </w:rPr>
              <w:t>从而计提</w:t>
            </w:r>
            <w:proofErr w:type="gramEnd"/>
            <w:r>
              <w:rPr>
                <w:rFonts w:ascii="宋体" w:hAnsi="宋体" w:cs="宋体" w:hint="eastAsia"/>
                <w:kern w:val="0"/>
                <w:lang w:val="zh-CN"/>
              </w:rPr>
              <w:t>的坏账准备减少</w:t>
            </w:r>
          </w:p>
        </w:tc>
      </w:tr>
      <w:tr w:rsidR="00262BA9">
        <w:tc>
          <w:tcPr>
            <w:tcW w:w="1418"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其他收益</w:t>
            </w:r>
          </w:p>
        </w:tc>
        <w:tc>
          <w:tcPr>
            <w:tcW w:w="1802" w:type="dxa"/>
          </w:tcPr>
          <w:p w:rsidR="00262BA9" w:rsidRDefault="00684726">
            <w:pPr>
              <w:autoSpaceDE w:val="0"/>
              <w:autoSpaceDN w:val="0"/>
              <w:adjustRightInd w:val="0"/>
              <w:spacing w:before="0" w:after="0"/>
              <w:jc w:val="left"/>
              <w:rPr>
                <w:rFonts w:eastAsia="Times New Roman"/>
                <w:kern w:val="0"/>
                <w:lang w:val="zh-CN"/>
              </w:rPr>
            </w:pPr>
            <w:r>
              <w:rPr>
                <w:rFonts w:eastAsia="Times New Roman"/>
                <w:kern w:val="0"/>
                <w:lang w:val="zh-CN"/>
              </w:rPr>
              <w:t xml:space="preserve">      309,593.88 </w:t>
            </w:r>
          </w:p>
        </w:tc>
        <w:tc>
          <w:tcPr>
            <w:tcW w:w="1600" w:type="dxa"/>
          </w:tcPr>
          <w:p w:rsidR="00262BA9" w:rsidRDefault="00684726">
            <w:pPr>
              <w:autoSpaceDE w:val="0"/>
              <w:autoSpaceDN w:val="0"/>
              <w:adjustRightInd w:val="0"/>
              <w:spacing w:before="0" w:after="0"/>
              <w:jc w:val="left"/>
              <w:rPr>
                <w:rFonts w:eastAsia="Times New Roman"/>
                <w:kern w:val="0"/>
                <w:lang w:val="zh-CN"/>
              </w:rPr>
            </w:pPr>
            <w:r>
              <w:rPr>
                <w:rFonts w:ascii="宋体" w:hAnsi="宋体" w:cs="宋体" w:hint="eastAsia"/>
                <w:kern w:val="0"/>
                <w:lang w:val="zh-CN"/>
              </w:rPr>
              <w:t xml:space="preserve">　</w:t>
            </w:r>
          </w:p>
        </w:tc>
        <w:tc>
          <w:tcPr>
            <w:tcW w:w="168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 xml:space="preserve">      309,593.88 </w:t>
            </w:r>
          </w:p>
        </w:tc>
        <w:tc>
          <w:tcPr>
            <w:tcW w:w="1120" w:type="dxa"/>
          </w:tcPr>
          <w:p w:rsidR="00262BA9" w:rsidRDefault="00684726">
            <w:pPr>
              <w:autoSpaceDE w:val="0"/>
              <w:autoSpaceDN w:val="0"/>
              <w:adjustRightInd w:val="0"/>
              <w:spacing w:before="0" w:after="0"/>
              <w:jc w:val="right"/>
              <w:rPr>
                <w:rFonts w:eastAsia="Times New Roman"/>
                <w:kern w:val="0"/>
                <w:lang w:val="zh-CN"/>
              </w:rPr>
            </w:pPr>
            <w:r>
              <w:rPr>
                <w:rFonts w:eastAsia="Times New Roman"/>
                <w:kern w:val="0"/>
                <w:lang w:val="zh-CN"/>
              </w:rPr>
              <w:t>100.00%</w:t>
            </w:r>
          </w:p>
        </w:tc>
        <w:tc>
          <w:tcPr>
            <w:tcW w:w="5847"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增加的原因主要是会计准则变更，将与企业日常活动相关的政府补助调整到本科目核算</w:t>
            </w:r>
          </w:p>
        </w:tc>
      </w:tr>
      <w:tr w:rsidR="00262BA9">
        <w:tc>
          <w:tcPr>
            <w:tcW w:w="1418"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营业外收入</w:t>
            </w:r>
          </w:p>
        </w:tc>
        <w:tc>
          <w:tcPr>
            <w:tcW w:w="1802" w:type="dxa"/>
          </w:tcPr>
          <w:p w:rsidR="00262BA9" w:rsidRDefault="00684726">
            <w:pPr>
              <w:autoSpaceDE w:val="0"/>
              <w:autoSpaceDN w:val="0"/>
              <w:adjustRightInd w:val="0"/>
              <w:spacing w:before="0" w:after="0"/>
              <w:jc w:val="left"/>
              <w:rPr>
                <w:rFonts w:eastAsia="Times New Roman"/>
                <w:kern w:val="0"/>
                <w:lang w:val="zh-CN"/>
              </w:rPr>
            </w:pPr>
            <w:r>
              <w:rPr>
                <w:rFonts w:eastAsia="Times New Roman"/>
                <w:kern w:val="0"/>
                <w:lang w:val="zh-CN"/>
              </w:rPr>
              <w:t xml:space="preserve">    8,908,419.90 </w:t>
            </w:r>
          </w:p>
        </w:tc>
        <w:tc>
          <w:tcPr>
            <w:tcW w:w="1600" w:type="dxa"/>
          </w:tcPr>
          <w:p w:rsidR="00262BA9" w:rsidRDefault="00684726">
            <w:pPr>
              <w:autoSpaceDE w:val="0"/>
              <w:autoSpaceDN w:val="0"/>
              <w:adjustRightInd w:val="0"/>
              <w:spacing w:before="0" w:after="0"/>
              <w:jc w:val="left"/>
              <w:rPr>
                <w:rFonts w:eastAsia="Times New Roman"/>
                <w:kern w:val="0"/>
                <w:lang w:val="zh-CN"/>
              </w:rPr>
            </w:pPr>
            <w:r>
              <w:rPr>
                <w:rFonts w:eastAsia="Times New Roman"/>
                <w:kern w:val="0"/>
                <w:lang w:val="zh-CN"/>
              </w:rPr>
              <w:t xml:space="preserve">     561,934.73 </w:t>
            </w:r>
          </w:p>
        </w:tc>
        <w:tc>
          <w:tcPr>
            <w:tcW w:w="168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 xml:space="preserve">    8,346,485.17 </w:t>
            </w:r>
          </w:p>
        </w:tc>
        <w:tc>
          <w:tcPr>
            <w:tcW w:w="1120" w:type="dxa"/>
          </w:tcPr>
          <w:p w:rsidR="00262BA9" w:rsidRDefault="00684726">
            <w:pPr>
              <w:autoSpaceDE w:val="0"/>
              <w:autoSpaceDN w:val="0"/>
              <w:adjustRightInd w:val="0"/>
              <w:spacing w:before="0" w:after="0"/>
              <w:jc w:val="right"/>
              <w:rPr>
                <w:rFonts w:eastAsia="Times New Roman"/>
                <w:kern w:val="0"/>
                <w:lang w:val="zh-CN"/>
              </w:rPr>
            </w:pPr>
            <w:r>
              <w:rPr>
                <w:rFonts w:eastAsia="Times New Roman"/>
                <w:kern w:val="0"/>
                <w:lang w:val="zh-CN"/>
              </w:rPr>
              <w:t>1485.31%</w:t>
            </w:r>
          </w:p>
        </w:tc>
        <w:tc>
          <w:tcPr>
            <w:tcW w:w="5847"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增加的原因主要是公司涉及的诉讼案件胜诉，对方公司给予的赔偿金</w:t>
            </w:r>
          </w:p>
        </w:tc>
      </w:tr>
      <w:tr w:rsidR="00262BA9">
        <w:tc>
          <w:tcPr>
            <w:tcW w:w="1418" w:type="dxa"/>
          </w:tcPr>
          <w:p w:rsidR="00262BA9" w:rsidRDefault="00684726">
            <w:pPr>
              <w:autoSpaceDE w:val="0"/>
              <w:autoSpaceDN w:val="0"/>
              <w:adjustRightInd w:val="0"/>
              <w:spacing w:before="0" w:after="0"/>
              <w:ind w:firstLine="180"/>
              <w:rPr>
                <w:rFonts w:eastAsia="Times New Roman"/>
                <w:kern w:val="0"/>
                <w:lang w:val="zh-CN"/>
              </w:rPr>
            </w:pPr>
            <w:r>
              <w:rPr>
                <w:rFonts w:ascii="宋体" w:hAnsi="宋体" w:cs="宋体" w:hint="eastAsia"/>
                <w:kern w:val="0"/>
                <w:lang w:val="zh-CN"/>
              </w:rPr>
              <w:t>所得税费用</w:t>
            </w:r>
          </w:p>
        </w:tc>
        <w:tc>
          <w:tcPr>
            <w:tcW w:w="1802" w:type="dxa"/>
          </w:tcPr>
          <w:p w:rsidR="00262BA9" w:rsidRDefault="00684726">
            <w:pPr>
              <w:autoSpaceDE w:val="0"/>
              <w:autoSpaceDN w:val="0"/>
              <w:adjustRightInd w:val="0"/>
              <w:spacing w:before="0" w:after="0"/>
              <w:jc w:val="left"/>
              <w:rPr>
                <w:rFonts w:eastAsia="Times New Roman"/>
                <w:kern w:val="0"/>
                <w:lang w:val="zh-CN"/>
              </w:rPr>
            </w:pPr>
            <w:r>
              <w:rPr>
                <w:rFonts w:eastAsia="Times New Roman"/>
                <w:kern w:val="0"/>
                <w:lang w:val="zh-CN"/>
              </w:rPr>
              <w:t xml:space="preserve">    9,264,658.90 </w:t>
            </w:r>
          </w:p>
        </w:tc>
        <w:tc>
          <w:tcPr>
            <w:tcW w:w="1600" w:type="dxa"/>
          </w:tcPr>
          <w:p w:rsidR="00262BA9" w:rsidRDefault="00684726">
            <w:pPr>
              <w:autoSpaceDE w:val="0"/>
              <w:autoSpaceDN w:val="0"/>
              <w:adjustRightInd w:val="0"/>
              <w:spacing w:before="0" w:after="0"/>
              <w:jc w:val="left"/>
              <w:rPr>
                <w:rFonts w:eastAsia="Times New Roman"/>
                <w:kern w:val="0"/>
                <w:lang w:val="zh-CN"/>
              </w:rPr>
            </w:pPr>
            <w:r>
              <w:rPr>
                <w:rFonts w:eastAsia="Times New Roman"/>
                <w:kern w:val="0"/>
                <w:lang w:val="zh-CN"/>
              </w:rPr>
              <w:t xml:space="preserve">   2,133,096.58 </w:t>
            </w:r>
          </w:p>
        </w:tc>
        <w:tc>
          <w:tcPr>
            <w:tcW w:w="168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 xml:space="preserve">    7,131,562.32 </w:t>
            </w:r>
          </w:p>
        </w:tc>
        <w:tc>
          <w:tcPr>
            <w:tcW w:w="1120" w:type="dxa"/>
          </w:tcPr>
          <w:p w:rsidR="00262BA9" w:rsidRDefault="00684726">
            <w:pPr>
              <w:autoSpaceDE w:val="0"/>
              <w:autoSpaceDN w:val="0"/>
              <w:adjustRightInd w:val="0"/>
              <w:spacing w:before="0" w:after="0"/>
              <w:jc w:val="right"/>
              <w:rPr>
                <w:rFonts w:eastAsia="Times New Roman"/>
                <w:kern w:val="0"/>
                <w:lang w:val="zh-CN"/>
              </w:rPr>
            </w:pPr>
            <w:r>
              <w:rPr>
                <w:rFonts w:eastAsia="Times New Roman"/>
                <w:kern w:val="0"/>
                <w:lang w:val="zh-CN"/>
              </w:rPr>
              <w:t>334.33%</w:t>
            </w:r>
          </w:p>
        </w:tc>
        <w:tc>
          <w:tcPr>
            <w:tcW w:w="5847"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增加的原因主要是公司本期利润增加相应计提的所得税增加</w:t>
            </w:r>
          </w:p>
        </w:tc>
      </w:tr>
    </w:tbl>
    <w:p w:rsidR="00262BA9" w:rsidRDefault="00684726">
      <w:pPr>
        <w:autoSpaceDE w:val="0"/>
        <w:autoSpaceDN w:val="0"/>
        <w:adjustRightInd w:val="0"/>
        <w:spacing w:before="0" w:after="0"/>
        <w:jc w:val="left"/>
        <w:rPr>
          <w:rFonts w:eastAsia="Times New Roman"/>
          <w:kern w:val="0"/>
          <w:lang w:val="zh-CN"/>
        </w:rPr>
      </w:pPr>
      <w:r>
        <w:rPr>
          <w:rFonts w:eastAsia="Times New Roman"/>
          <w:kern w:val="0"/>
          <w:lang w:val="zh-CN"/>
        </w:rPr>
        <w:t>3</w:t>
      </w:r>
      <w:r>
        <w:rPr>
          <w:rFonts w:ascii="宋体" w:hAnsi="宋体" w:cs="宋体" w:hint="eastAsia"/>
          <w:kern w:val="0"/>
          <w:lang w:val="zh-CN"/>
        </w:rPr>
        <w:t>、现金流量表科目变动原因分析</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021"/>
        <w:gridCol w:w="1540"/>
        <w:gridCol w:w="1848"/>
        <w:gridCol w:w="1694"/>
        <w:gridCol w:w="1078"/>
        <w:gridCol w:w="5286"/>
      </w:tblGrid>
      <w:tr w:rsidR="00262BA9" w:rsidTr="00A64B05">
        <w:tc>
          <w:tcPr>
            <w:tcW w:w="2021"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项目</w:t>
            </w:r>
          </w:p>
        </w:tc>
        <w:tc>
          <w:tcPr>
            <w:tcW w:w="1540"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本期金额</w:t>
            </w:r>
          </w:p>
        </w:tc>
        <w:tc>
          <w:tcPr>
            <w:tcW w:w="1848"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上期金额</w:t>
            </w:r>
          </w:p>
        </w:tc>
        <w:tc>
          <w:tcPr>
            <w:tcW w:w="1694"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增减变动</w:t>
            </w:r>
          </w:p>
        </w:tc>
        <w:tc>
          <w:tcPr>
            <w:tcW w:w="1078"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变动比例</w:t>
            </w:r>
          </w:p>
        </w:tc>
        <w:tc>
          <w:tcPr>
            <w:tcW w:w="5286" w:type="dxa"/>
            <w:shd w:val="clear" w:color="auto" w:fill="BFBFBF" w:themeFill="background1" w:themeFillShade="BF"/>
          </w:tcPr>
          <w:p w:rsidR="00262BA9" w:rsidRDefault="00684726">
            <w:pPr>
              <w:autoSpaceDE w:val="0"/>
              <w:autoSpaceDN w:val="0"/>
              <w:adjustRightInd w:val="0"/>
              <w:spacing w:before="0" w:after="0"/>
              <w:jc w:val="center"/>
              <w:rPr>
                <w:rFonts w:eastAsia="Times New Roman"/>
                <w:kern w:val="0"/>
                <w:lang w:val="zh-CN"/>
              </w:rPr>
            </w:pPr>
            <w:r>
              <w:rPr>
                <w:rFonts w:ascii="宋体" w:hAnsi="宋体" w:cs="宋体" w:hint="eastAsia"/>
                <w:kern w:val="0"/>
                <w:lang w:val="zh-CN"/>
              </w:rPr>
              <w:t>变动原因说明</w:t>
            </w:r>
          </w:p>
        </w:tc>
      </w:tr>
      <w:tr w:rsidR="00262BA9">
        <w:tc>
          <w:tcPr>
            <w:tcW w:w="2021"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经营活动现金流入小计</w:t>
            </w:r>
          </w:p>
        </w:tc>
        <w:tc>
          <w:tcPr>
            <w:tcW w:w="154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513,151,193.11</w:t>
            </w:r>
          </w:p>
        </w:tc>
        <w:tc>
          <w:tcPr>
            <w:tcW w:w="184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259,757,636.98</w:t>
            </w:r>
          </w:p>
        </w:tc>
        <w:tc>
          <w:tcPr>
            <w:tcW w:w="1694"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253,393,556.13</w:t>
            </w:r>
          </w:p>
        </w:tc>
        <w:tc>
          <w:tcPr>
            <w:tcW w:w="107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97.55%</w:t>
            </w:r>
          </w:p>
        </w:tc>
        <w:tc>
          <w:tcPr>
            <w:tcW w:w="5286"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增加的原因主要是</w:t>
            </w:r>
            <w:r>
              <w:rPr>
                <w:rFonts w:eastAsia="Times New Roman"/>
                <w:kern w:val="0"/>
                <w:lang w:val="zh-CN"/>
              </w:rPr>
              <w:t>17</w:t>
            </w:r>
            <w:r>
              <w:rPr>
                <w:rFonts w:ascii="宋体" w:hAnsi="宋体" w:cs="宋体" w:hint="eastAsia"/>
                <w:kern w:val="0"/>
                <w:lang w:val="zh-CN"/>
              </w:rPr>
              <w:t>年底公司收购</w:t>
            </w:r>
            <w:proofErr w:type="gramStart"/>
            <w:r>
              <w:rPr>
                <w:rFonts w:ascii="宋体" w:hAnsi="宋体" w:cs="宋体" w:hint="eastAsia"/>
                <w:kern w:val="0"/>
                <w:lang w:val="zh-CN"/>
              </w:rPr>
              <w:t>赞融电子</w:t>
            </w:r>
            <w:proofErr w:type="gramEnd"/>
            <w:r>
              <w:rPr>
                <w:rFonts w:ascii="宋体" w:hAnsi="宋体" w:cs="宋体" w:hint="eastAsia"/>
                <w:kern w:val="0"/>
                <w:lang w:val="zh-CN"/>
              </w:rPr>
              <w:t>的股权，本期合并范围增加</w:t>
            </w:r>
            <w:proofErr w:type="gramStart"/>
            <w:r>
              <w:rPr>
                <w:rFonts w:ascii="宋体" w:hAnsi="宋体" w:cs="宋体" w:hint="eastAsia"/>
                <w:kern w:val="0"/>
                <w:lang w:val="zh-CN"/>
              </w:rPr>
              <w:t>赞融电子</w:t>
            </w:r>
            <w:proofErr w:type="gramEnd"/>
            <w:r>
              <w:rPr>
                <w:rFonts w:ascii="宋体" w:hAnsi="宋体" w:cs="宋体" w:hint="eastAsia"/>
                <w:kern w:val="0"/>
                <w:lang w:val="zh-CN"/>
              </w:rPr>
              <w:t>的经营活动现金流入</w:t>
            </w:r>
            <w:r>
              <w:rPr>
                <w:rFonts w:eastAsia="Times New Roman"/>
                <w:kern w:val="0"/>
                <w:lang w:val="zh-CN"/>
              </w:rPr>
              <w:t>1.74</w:t>
            </w:r>
            <w:r>
              <w:rPr>
                <w:rFonts w:ascii="宋体" w:hAnsi="宋体" w:cs="宋体" w:hint="eastAsia"/>
                <w:kern w:val="0"/>
                <w:lang w:val="zh-CN"/>
              </w:rPr>
              <w:t>亿，</w:t>
            </w:r>
          </w:p>
        </w:tc>
      </w:tr>
      <w:tr w:rsidR="00262BA9">
        <w:tc>
          <w:tcPr>
            <w:tcW w:w="2021"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经营活动现金流出小计</w:t>
            </w:r>
          </w:p>
        </w:tc>
        <w:tc>
          <w:tcPr>
            <w:tcW w:w="154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981,858,151.66</w:t>
            </w:r>
          </w:p>
        </w:tc>
        <w:tc>
          <w:tcPr>
            <w:tcW w:w="184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439,391,537.24</w:t>
            </w:r>
          </w:p>
        </w:tc>
        <w:tc>
          <w:tcPr>
            <w:tcW w:w="1694"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542,466,614.42</w:t>
            </w:r>
          </w:p>
        </w:tc>
        <w:tc>
          <w:tcPr>
            <w:tcW w:w="107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123.46%</w:t>
            </w:r>
          </w:p>
        </w:tc>
        <w:tc>
          <w:tcPr>
            <w:tcW w:w="5286"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增加的原因主要是</w:t>
            </w:r>
            <w:r>
              <w:rPr>
                <w:rFonts w:eastAsia="Times New Roman"/>
                <w:kern w:val="0"/>
                <w:lang w:val="zh-CN"/>
              </w:rPr>
              <w:t>17</w:t>
            </w:r>
            <w:r>
              <w:rPr>
                <w:rFonts w:ascii="宋体" w:hAnsi="宋体" w:cs="宋体" w:hint="eastAsia"/>
                <w:kern w:val="0"/>
                <w:lang w:val="zh-CN"/>
              </w:rPr>
              <w:t>年底公司收购</w:t>
            </w:r>
            <w:proofErr w:type="gramStart"/>
            <w:r>
              <w:rPr>
                <w:rFonts w:ascii="宋体" w:hAnsi="宋体" w:cs="宋体" w:hint="eastAsia"/>
                <w:kern w:val="0"/>
                <w:lang w:val="zh-CN"/>
              </w:rPr>
              <w:t>赞融电子</w:t>
            </w:r>
            <w:proofErr w:type="gramEnd"/>
            <w:r>
              <w:rPr>
                <w:rFonts w:ascii="宋体" w:hAnsi="宋体" w:cs="宋体" w:hint="eastAsia"/>
                <w:kern w:val="0"/>
                <w:lang w:val="zh-CN"/>
              </w:rPr>
              <w:t>的股权，本期合并范围增加</w:t>
            </w:r>
            <w:proofErr w:type="gramStart"/>
            <w:r>
              <w:rPr>
                <w:rFonts w:ascii="宋体" w:hAnsi="宋体" w:cs="宋体" w:hint="eastAsia"/>
                <w:kern w:val="0"/>
                <w:lang w:val="zh-CN"/>
              </w:rPr>
              <w:t>赞融电子</w:t>
            </w:r>
            <w:proofErr w:type="gramEnd"/>
            <w:r>
              <w:rPr>
                <w:rFonts w:ascii="宋体" w:hAnsi="宋体" w:cs="宋体" w:hint="eastAsia"/>
                <w:kern w:val="0"/>
                <w:lang w:val="zh-CN"/>
              </w:rPr>
              <w:t>经营活动现金流出，且本期支付供应商采购付款增加</w:t>
            </w:r>
          </w:p>
        </w:tc>
      </w:tr>
      <w:tr w:rsidR="00262BA9">
        <w:tc>
          <w:tcPr>
            <w:tcW w:w="2021"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经营活动产生的现金流量净额</w:t>
            </w:r>
          </w:p>
        </w:tc>
        <w:tc>
          <w:tcPr>
            <w:tcW w:w="154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-468,706,958.55</w:t>
            </w:r>
          </w:p>
        </w:tc>
        <w:tc>
          <w:tcPr>
            <w:tcW w:w="184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-179,633,900.26</w:t>
            </w:r>
          </w:p>
        </w:tc>
        <w:tc>
          <w:tcPr>
            <w:tcW w:w="1694"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-289,073,058.29</w:t>
            </w:r>
          </w:p>
        </w:tc>
        <w:tc>
          <w:tcPr>
            <w:tcW w:w="107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-160.92%</w:t>
            </w:r>
          </w:p>
        </w:tc>
        <w:tc>
          <w:tcPr>
            <w:tcW w:w="5286"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减少的原因主要是本期支付供应商货款支出增加</w:t>
            </w:r>
          </w:p>
        </w:tc>
      </w:tr>
      <w:tr w:rsidR="00262BA9">
        <w:tc>
          <w:tcPr>
            <w:tcW w:w="2021"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投资活动现金流入小计</w:t>
            </w:r>
          </w:p>
        </w:tc>
        <w:tc>
          <w:tcPr>
            <w:tcW w:w="154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2,451,326.36</w:t>
            </w:r>
          </w:p>
        </w:tc>
        <w:tc>
          <w:tcPr>
            <w:tcW w:w="184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9,766,904.47</w:t>
            </w:r>
          </w:p>
        </w:tc>
        <w:tc>
          <w:tcPr>
            <w:tcW w:w="1694"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-7,315,578.11</w:t>
            </w:r>
          </w:p>
        </w:tc>
        <w:tc>
          <w:tcPr>
            <w:tcW w:w="107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-74.90%</w:t>
            </w:r>
          </w:p>
        </w:tc>
        <w:tc>
          <w:tcPr>
            <w:tcW w:w="5286"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减少的原因主要是本期到期赎回的理财本金较上年同期减少</w:t>
            </w:r>
          </w:p>
        </w:tc>
      </w:tr>
      <w:tr w:rsidR="00262BA9">
        <w:tc>
          <w:tcPr>
            <w:tcW w:w="2021"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投资活动现金流出小计</w:t>
            </w:r>
          </w:p>
        </w:tc>
        <w:tc>
          <w:tcPr>
            <w:tcW w:w="154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518,974,711.96</w:t>
            </w:r>
          </w:p>
        </w:tc>
        <w:tc>
          <w:tcPr>
            <w:tcW w:w="184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306,110,378.26</w:t>
            </w:r>
          </w:p>
        </w:tc>
        <w:tc>
          <w:tcPr>
            <w:tcW w:w="1694"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212,864,333.70</w:t>
            </w:r>
          </w:p>
        </w:tc>
        <w:tc>
          <w:tcPr>
            <w:tcW w:w="107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69.54%</w:t>
            </w:r>
          </w:p>
        </w:tc>
        <w:tc>
          <w:tcPr>
            <w:tcW w:w="5286"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增加的原因主要是本期购买理财产品的支出增加</w:t>
            </w:r>
          </w:p>
        </w:tc>
      </w:tr>
      <w:tr w:rsidR="00262BA9">
        <w:tc>
          <w:tcPr>
            <w:tcW w:w="2021"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投资活动产生的现金流量净额</w:t>
            </w:r>
          </w:p>
        </w:tc>
        <w:tc>
          <w:tcPr>
            <w:tcW w:w="154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-516,523,385.60</w:t>
            </w:r>
          </w:p>
        </w:tc>
        <w:tc>
          <w:tcPr>
            <w:tcW w:w="184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-296,343,473.79</w:t>
            </w:r>
          </w:p>
        </w:tc>
        <w:tc>
          <w:tcPr>
            <w:tcW w:w="1694"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-220,179,911.81</w:t>
            </w:r>
          </w:p>
        </w:tc>
        <w:tc>
          <w:tcPr>
            <w:tcW w:w="107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-74.30%</w:t>
            </w:r>
          </w:p>
        </w:tc>
        <w:tc>
          <w:tcPr>
            <w:tcW w:w="5286"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减少的原因主要是本期购买理财产品的支出增加</w:t>
            </w:r>
          </w:p>
        </w:tc>
      </w:tr>
      <w:tr w:rsidR="00262BA9">
        <w:tc>
          <w:tcPr>
            <w:tcW w:w="2021"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筹资活动现金流入小计</w:t>
            </w:r>
          </w:p>
        </w:tc>
        <w:tc>
          <w:tcPr>
            <w:tcW w:w="154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634,000,000.00</w:t>
            </w:r>
          </w:p>
        </w:tc>
        <w:tc>
          <w:tcPr>
            <w:tcW w:w="184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225,000,000.00</w:t>
            </w:r>
          </w:p>
        </w:tc>
        <w:tc>
          <w:tcPr>
            <w:tcW w:w="1694"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409,000,000.00</w:t>
            </w:r>
          </w:p>
        </w:tc>
        <w:tc>
          <w:tcPr>
            <w:tcW w:w="107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181.78%</w:t>
            </w:r>
          </w:p>
        </w:tc>
        <w:tc>
          <w:tcPr>
            <w:tcW w:w="5286"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增加的原因主要是本期取得的银行贷款增加</w:t>
            </w:r>
          </w:p>
        </w:tc>
      </w:tr>
      <w:tr w:rsidR="00262BA9">
        <w:tc>
          <w:tcPr>
            <w:tcW w:w="2021"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筹资活动现金流出小计</w:t>
            </w:r>
          </w:p>
        </w:tc>
        <w:tc>
          <w:tcPr>
            <w:tcW w:w="154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125,498,746.02</w:t>
            </w:r>
          </w:p>
        </w:tc>
        <w:tc>
          <w:tcPr>
            <w:tcW w:w="184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37,171,925.12</w:t>
            </w:r>
          </w:p>
        </w:tc>
        <w:tc>
          <w:tcPr>
            <w:tcW w:w="1694"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88,326,820.90</w:t>
            </w:r>
          </w:p>
        </w:tc>
        <w:tc>
          <w:tcPr>
            <w:tcW w:w="107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237.62%</w:t>
            </w:r>
          </w:p>
        </w:tc>
        <w:tc>
          <w:tcPr>
            <w:tcW w:w="5286"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增加的原因主要是公司本期偿还银行借款支付的现金增加</w:t>
            </w:r>
          </w:p>
        </w:tc>
      </w:tr>
      <w:tr w:rsidR="00262BA9">
        <w:tc>
          <w:tcPr>
            <w:tcW w:w="2021"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筹资活动产生的现金流量净额</w:t>
            </w:r>
          </w:p>
        </w:tc>
        <w:tc>
          <w:tcPr>
            <w:tcW w:w="154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508,501,253.98</w:t>
            </w:r>
          </w:p>
        </w:tc>
        <w:tc>
          <w:tcPr>
            <w:tcW w:w="184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187,828,074.88</w:t>
            </w:r>
          </w:p>
        </w:tc>
        <w:tc>
          <w:tcPr>
            <w:tcW w:w="1694"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320,673,179.10</w:t>
            </w:r>
          </w:p>
        </w:tc>
        <w:tc>
          <w:tcPr>
            <w:tcW w:w="107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170.73%</w:t>
            </w:r>
          </w:p>
        </w:tc>
        <w:tc>
          <w:tcPr>
            <w:tcW w:w="5286"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增加的原因主要是取得的银行贷款增加</w:t>
            </w:r>
          </w:p>
        </w:tc>
      </w:tr>
      <w:tr w:rsidR="00262BA9">
        <w:tc>
          <w:tcPr>
            <w:tcW w:w="2021"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现金及现金等价物净增加额</w:t>
            </w:r>
          </w:p>
        </w:tc>
        <w:tc>
          <w:tcPr>
            <w:tcW w:w="1540"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-478,685,285.69</w:t>
            </w:r>
          </w:p>
        </w:tc>
        <w:tc>
          <w:tcPr>
            <w:tcW w:w="184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-288,719,242.62</w:t>
            </w:r>
          </w:p>
        </w:tc>
        <w:tc>
          <w:tcPr>
            <w:tcW w:w="1694"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-189,966,043.07</w:t>
            </w:r>
          </w:p>
        </w:tc>
        <w:tc>
          <w:tcPr>
            <w:tcW w:w="1078" w:type="dxa"/>
          </w:tcPr>
          <w:p w:rsidR="00262BA9" w:rsidRDefault="00684726">
            <w:pPr>
              <w:autoSpaceDE w:val="0"/>
              <w:autoSpaceDN w:val="0"/>
              <w:adjustRightInd w:val="0"/>
              <w:spacing w:before="0" w:after="0"/>
              <w:jc w:val="center"/>
              <w:rPr>
                <w:rFonts w:eastAsia="Times New Roman"/>
                <w:kern w:val="0"/>
                <w:lang w:val="zh-CN"/>
              </w:rPr>
            </w:pPr>
            <w:r>
              <w:rPr>
                <w:rFonts w:eastAsia="Times New Roman"/>
                <w:kern w:val="0"/>
                <w:lang w:val="zh-CN"/>
              </w:rPr>
              <w:t>-65.80%</w:t>
            </w:r>
          </w:p>
        </w:tc>
        <w:tc>
          <w:tcPr>
            <w:tcW w:w="5286" w:type="dxa"/>
          </w:tcPr>
          <w:p w:rsidR="00262BA9" w:rsidRDefault="00684726">
            <w:pPr>
              <w:autoSpaceDE w:val="0"/>
              <w:autoSpaceDN w:val="0"/>
              <w:adjustRightInd w:val="0"/>
              <w:spacing w:before="0" w:after="0"/>
              <w:rPr>
                <w:rFonts w:eastAsia="Times New Roman"/>
                <w:kern w:val="0"/>
                <w:lang w:val="zh-CN"/>
              </w:rPr>
            </w:pPr>
            <w:r>
              <w:rPr>
                <w:rFonts w:ascii="宋体" w:hAnsi="宋体" w:cs="宋体" w:hint="eastAsia"/>
                <w:kern w:val="0"/>
                <w:lang w:val="zh-CN"/>
              </w:rPr>
              <w:t>减少的原因主要是本期购买理财产品的支出增加且支付供应商货款支出增加</w:t>
            </w:r>
          </w:p>
        </w:tc>
      </w:tr>
    </w:tbl>
    <w:p w:rsidR="00262BA9" w:rsidRDefault="00262BA9">
      <w:pPr>
        <w:autoSpaceDE w:val="0"/>
        <w:autoSpaceDN w:val="0"/>
        <w:adjustRightInd w:val="0"/>
        <w:spacing w:before="0" w:after="0"/>
        <w:jc w:val="left"/>
        <w:rPr>
          <w:rFonts w:eastAsia="Times New Roman"/>
          <w:kern w:val="0"/>
          <w:lang w:val="zh-CN"/>
        </w:rPr>
      </w:pPr>
    </w:p>
    <w:p w:rsidR="00CC5139" w:rsidRDefault="00CC5139">
      <w:pPr>
        <w:pStyle w:val="Chapter"/>
        <w:outlineLvl w:val="1"/>
        <w:rPr>
          <w:bCs w:val="0"/>
        </w:rPr>
        <w:sectPr w:rsidR="00CC5139" w:rsidSect="00CC5139">
          <w:pgSz w:w="16838" w:h="11906" w:orient="landscape"/>
          <w:pgMar w:top="1134" w:right="1440" w:bottom="1134" w:left="1440" w:header="851" w:footer="992" w:gutter="0"/>
          <w:cols w:space="425"/>
          <w:docGrid w:type="lines" w:linePitch="312"/>
        </w:sectPr>
      </w:pPr>
    </w:p>
    <w:p w:rsidR="00262BA9" w:rsidRDefault="00684726">
      <w:pPr>
        <w:pStyle w:val="Chapter"/>
        <w:outlineLvl w:val="1"/>
        <w:rPr>
          <w:bCs w:val="0"/>
        </w:rPr>
      </w:pPr>
      <w:r>
        <w:rPr>
          <w:bCs w:val="0"/>
        </w:rPr>
        <w:lastRenderedPageBreak/>
        <w:t>二、重要事项进展情况及其影响和解决方案的分析说明</w:t>
      </w:r>
    </w:p>
    <w:p w:rsidR="00262BA9" w:rsidRDefault="00684726">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262BA9" w:rsidRDefault="00684726">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发行股份及支付现金购买资产并募集配套资金</w:t>
      </w:r>
    </w:p>
    <w:p w:rsidR="00262BA9" w:rsidRDefault="00262BA9">
      <w:pPr>
        <w:autoSpaceDE w:val="0"/>
        <w:autoSpaceDN w:val="0"/>
        <w:adjustRightInd w:val="0"/>
        <w:spacing w:before="0" w:after="0"/>
        <w:rPr>
          <w:rFonts w:eastAsia="Times New Roman"/>
          <w:kern w:val="0"/>
          <w:szCs w:val="24"/>
          <w:lang w:val="zh-CN"/>
        </w:rPr>
      </w:pPr>
    </w:p>
    <w:p w:rsidR="00262BA9" w:rsidRDefault="00684726">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、公司因正在筹划发行股份购买资产事项，于</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10</w:t>
      </w:r>
      <w:r>
        <w:rPr>
          <w:rFonts w:ascii="宋体" w:hAnsi="宋体" w:cs="宋体" w:hint="eastAsia"/>
          <w:kern w:val="0"/>
          <w:szCs w:val="24"/>
          <w:lang w:val="zh-CN"/>
        </w:rPr>
        <w:t>日披露了《关于筹划发行股份购买资产的停牌公告》，公司股票自</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10</w:t>
      </w:r>
      <w:r>
        <w:rPr>
          <w:rFonts w:ascii="宋体" w:hAnsi="宋体" w:cs="宋体" w:hint="eastAsia"/>
          <w:kern w:val="0"/>
          <w:szCs w:val="24"/>
          <w:lang w:val="zh-CN"/>
        </w:rPr>
        <w:t>日开市起停牌。</w:t>
      </w:r>
    </w:p>
    <w:p w:rsidR="00262BA9" w:rsidRDefault="00684726">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22</w:t>
      </w:r>
      <w:r>
        <w:rPr>
          <w:rFonts w:ascii="宋体" w:hAnsi="宋体" w:cs="宋体" w:hint="eastAsia"/>
          <w:kern w:val="0"/>
          <w:szCs w:val="24"/>
          <w:lang w:val="zh-CN"/>
        </w:rPr>
        <w:t>日，公司召开第四届董事会第三次会议和第四届监事会第二次会议，审议通过了本次发行股份及支付现金购买资产并募集配套资金事项的相关议案，并于</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23</w:t>
      </w:r>
      <w:r>
        <w:rPr>
          <w:rFonts w:ascii="宋体" w:hAnsi="宋体" w:cs="宋体" w:hint="eastAsia"/>
          <w:kern w:val="0"/>
          <w:szCs w:val="24"/>
          <w:lang w:val="zh-CN"/>
        </w:rPr>
        <w:t>日披露了《北京荣之联科技股份有限公司拟发行股份及支付现金购买资产并募集配套资金报告书（草案）》及《关于公司股票暂不复牌暨一般风险提示的公告》等相关公告。</w:t>
      </w:r>
    </w:p>
    <w:p w:rsidR="00262BA9" w:rsidRDefault="00684726">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10</w:t>
      </w:r>
      <w:r>
        <w:rPr>
          <w:rFonts w:ascii="宋体" w:hAnsi="宋体" w:cs="宋体" w:hint="eastAsia"/>
          <w:kern w:val="0"/>
          <w:szCs w:val="24"/>
          <w:lang w:val="zh-CN"/>
        </w:rPr>
        <w:t>日，公司召开</w:t>
      </w:r>
      <w:r>
        <w:rPr>
          <w:rFonts w:eastAsia="Times New Roman"/>
          <w:kern w:val="0"/>
          <w:szCs w:val="24"/>
          <w:lang w:val="zh-CN"/>
        </w:rPr>
        <w:t>2017</w:t>
      </w:r>
      <w:r>
        <w:rPr>
          <w:rFonts w:ascii="宋体" w:hAnsi="宋体" w:cs="宋体" w:hint="eastAsia"/>
          <w:kern w:val="0"/>
          <w:szCs w:val="24"/>
          <w:lang w:val="zh-CN"/>
        </w:rPr>
        <w:t>年第二次临时股东大会审议通过了《关于公司发行股份及支付现金购买资产并募集配套资金的议案》等相关议案。</w:t>
      </w:r>
    </w:p>
    <w:p w:rsidR="00262BA9" w:rsidRDefault="00684726">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17</w:t>
      </w:r>
      <w:r>
        <w:rPr>
          <w:rFonts w:ascii="宋体" w:hAnsi="宋体" w:cs="宋体" w:hint="eastAsia"/>
          <w:kern w:val="0"/>
          <w:szCs w:val="24"/>
          <w:lang w:val="zh-CN"/>
        </w:rPr>
        <w:t>日，公司收到中国证券监督管理委员会出具的《中国证监会行政许可申请受理通知书》（</w:t>
      </w:r>
      <w:r>
        <w:rPr>
          <w:rFonts w:eastAsia="Times New Roman"/>
          <w:kern w:val="0"/>
          <w:szCs w:val="24"/>
          <w:lang w:val="zh-CN"/>
        </w:rPr>
        <w:t>171429</w:t>
      </w:r>
      <w:r>
        <w:rPr>
          <w:rFonts w:ascii="宋体" w:hAnsi="宋体" w:cs="宋体" w:hint="eastAsia"/>
          <w:kern w:val="0"/>
          <w:szCs w:val="24"/>
          <w:lang w:val="zh-CN"/>
        </w:rPr>
        <w:t>号），证监会认为公司申请材料齐全，符合法定形式，决定对该行政许可申请予以受理。</w:t>
      </w:r>
    </w:p>
    <w:p w:rsidR="00262BA9" w:rsidRDefault="00684726">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日，公司收到中国证券监督管理委员会出具的《中国证监会行政许可项目审查一次反馈意见通知书》（</w:t>
      </w:r>
      <w:r>
        <w:rPr>
          <w:rFonts w:eastAsia="Times New Roman"/>
          <w:kern w:val="0"/>
          <w:szCs w:val="24"/>
          <w:lang w:val="zh-CN"/>
        </w:rPr>
        <w:t>171429</w:t>
      </w:r>
      <w:r>
        <w:rPr>
          <w:rFonts w:ascii="宋体" w:hAnsi="宋体" w:cs="宋体" w:hint="eastAsia"/>
          <w:kern w:val="0"/>
          <w:szCs w:val="24"/>
          <w:lang w:val="zh-CN"/>
        </w:rPr>
        <w:t>号），公司将就有关问题</w:t>
      </w:r>
      <w:proofErr w:type="gramStart"/>
      <w:r>
        <w:rPr>
          <w:rFonts w:ascii="宋体" w:hAnsi="宋体" w:cs="宋体" w:hint="eastAsia"/>
          <w:kern w:val="0"/>
          <w:szCs w:val="24"/>
          <w:lang w:val="zh-CN"/>
        </w:rPr>
        <w:t>作出</w:t>
      </w:r>
      <w:proofErr w:type="gramEnd"/>
      <w:r>
        <w:rPr>
          <w:rFonts w:ascii="宋体" w:hAnsi="宋体" w:cs="宋体" w:hint="eastAsia"/>
          <w:kern w:val="0"/>
          <w:szCs w:val="24"/>
          <w:lang w:val="zh-CN"/>
        </w:rPr>
        <w:t>书面说明和解释，并在</w:t>
      </w:r>
      <w:r>
        <w:rPr>
          <w:rFonts w:eastAsia="Times New Roman"/>
          <w:kern w:val="0"/>
          <w:szCs w:val="24"/>
          <w:lang w:val="zh-CN"/>
        </w:rPr>
        <w:t>30</w:t>
      </w:r>
      <w:r>
        <w:rPr>
          <w:rFonts w:ascii="宋体" w:hAnsi="宋体" w:cs="宋体" w:hint="eastAsia"/>
          <w:kern w:val="0"/>
          <w:szCs w:val="24"/>
          <w:lang w:val="zh-CN"/>
        </w:rPr>
        <w:t>个工作日内向证监会提交书面回复意见。</w:t>
      </w:r>
    </w:p>
    <w:p w:rsidR="00262BA9" w:rsidRDefault="00684726">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6</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16</w:t>
      </w:r>
      <w:r>
        <w:rPr>
          <w:rFonts w:ascii="宋体" w:hAnsi="宋体" w:cs="宋体" w:hint="eastAsia"/>
          <w:kern w:val="0"/>
          <w:szCs w:val="24"/>
          <w:lang w:val="zh-CN"/>
        </w:rPr>
        <w:t>日，公司披露了《北京荣之联科技股份有限公司发行股份及支付现金购买资产并募集配套资金一次反馈意见答复》并于同日将相关反馈意见报送给了证监会行政许可受理部门。</w:t>
      </w:r>
    </w:p>
    <w:p w:rsidR="00262BA9" w:rsidRDefault="00684726">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7</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日，公司披露了《关于中国证监会上市公司并购重组委员会审核公司发行股份及支付现金购买资产并募集配套资金事项的停牌公告》，公司于</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23</w:t>
      </w:r>
      <w:r>
        <w:rPr>
          <w:rFonts w:ascii="宋体" w:hAnsi="宋体" w:cs="宋体" w:hint="eastAsia"/>
          <w:kern w:val="0"/>
          <w:szCs w:val="24"/>
          <w:lang w:val="zh-CN"/>
        </w:rPr>
        <w:t>日收到中国证监会通知，中国证监会上市公司并购重组委员会将于近期召开工作会议，审核公司关于发行股份及支付现金购买资产并募集配套资金的事项，公司股票也于</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日开市起停牌。</w:t>
      </w:r>
    </w:p>
    <w:p w:rsidR="00262BA9" w:rsidRDefault="00684726">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8</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25</w:t>
      </w:r>
      <w:r>
        <w:rPr>
          <w:rFonts w:ascii="宋体" w:hAnsi="宋体" w:cs="宋体" w:hint="eastAsia"/>
          <w:kern w:val="0"/>
          <w:szCs w:val="24"/>
          <w:lang w:val="zh-CN"/>
        </w:rPr>
        <w:t>日，公司披露了《关于调整发行股份及支付现金购买资产并募集配套资金方案的公告》，公司召开了第四届董事会第七次会议及第四届监事会第五次会议，对募集配套资金进行调减。</w:t>
      </w:r>
    </w:p>
    <w:p w:rsidR="00262BA9" w:rsidRDefault="00684726">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9</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日，公司披露了《关于发行股份及支付现金购买资产事项获得商务部反垄断局批复的公告》，公司收到中华人民共和国商务部反垄断局下发的《不实施进一步审查通知》（</w:t>
      </w:r>
      <w:proofErr w:type="gramStart"/>
      <w:r>
        <w:rPr>
          <w:rFonts w:ascii="宋体" w:hAnsi="宋体" w:cs="宋体" w:hint="eastAsia"/>
          <w:kern w:val="0"/>
          <w:szCs w:val="24"/>
          <w:lang w:val="zh-CN"/>
        </w:rPr>
        <w:t>商反垄</w:t>
      </w:r>
      <w:proofErr w:type="gramEnd"/>
      <w:r>
        <w:rPr>
          <w:rFonts w:ascii="宋体" w:hAnsi="宋体" w:cs="宋体" w:hint="eastAsia"/>
          <w:kern w:val="0"/>
          <w:szCs w:val="24"/>
          <w:lang w:val="zh-CN"/>
        </w:rPr>
        <w:t>初审函</w:t>
      </w:r>
      <w:r>
        <w:rPr>
          <w:rFonts w:eastAsia="Times New Roman"/>
          <w:kern w:val="0"/>
          <w:szCs w:val="24"/>
          <w:lang w:val="zh-CN"/>
        </w:rPr>
        <w:t>[2017]</w:t>
      </w:r>
      <w:r>
        <w:rPr>
          <w:rFonts w:ascii="宋体" w:hAnsi="宋体" w:cs="宋体" w:hint="eastAsia"/>
          <w:kern w:val="0"/>
          <w:szCs w:val="24"/>
          <w:lang w:val="zh-CN"/>
        </w:rPr>
        <w:t>第</w:t>
      </w:r>
      <w:r>
        <w:rPr>
          <w:rFonts w:eastAsia="Times New Roman"/>
          <w:kern w:val="0"/>
          <w:szCs w:val="24"/>
          <w:lang w:val="zh-CN"/>
        </w:rPr>
        <w:t>226</w:t>
      </w:r>
      <w:r>
        <w:rPr>
          <w:rFonts w:ascii="宋体" w:hAnsi="宋体" w:cs="宋体" w:hint="eastAsia"/>
          <w:kern w:val="0"/>
          <w:szCs w:val="24"/>
          <w:lang w:val="zh-CN"/>
        </w:rPr>
        <w:t>号），通知内容摘录如下：</w:t>
      </w:r>
      <w:r>
        <w:rPr>
          <w:rFonts w:eastAsia="Times New Roman"/>
          <w:kern w:val="0"/>
          <w:szCs w:val="24"/>
          <w:lang w:val="zh-CN"/>
        </w:rPr>
        <w:t>“</w:t>
      </w:r>
      <w:r>
        <w:rPr>
          <w:rFonts w:ascii="宋体" w:hAnsi="宋体" w:cs="宋体" w:hint="eastAsia"/>
          <w:kern w:val="0"/>
          <w:szCs w:val="24"/>
          <w:lang w:val="zh-CN"/>
        </w:rPr>
        <w:t>根据《中华人民共和国反垄断法》第二十五条，经初步审查，现决定，对北京荣之联科技股份有限公司收购深圳市赞融电子技术有限公司股权案不实施进一步审查，从即日起可以实施集中。该案涉及经营者集中反垄断审查之外的其他事项，依据相关法律办理。</w:t>
      </w:r>
      <w:r>
        <w:rPr>
          <w:rFonts w:eastAsia="Times New Roman"/>
          <w:kern w:val="0"/>
          <w:szCs w:val="24"/>
          <w:lang w:val="zh-CN"/>
        </w:rPr>
        <w:t>”</w:t>
      </w:r>
    </w:p>
    <w:p w:rsidR="00262BA9" w:rsidRDefault="00684726">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10</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公司披露了《关于发行股份及支付现金购买资产并募集配套资金事项获得中国证监会并购重组委员会审核通过暨公司股票复牌的公告》，公司本次发行股份及支付现金购买资产并募集配套资金事项获得中国证监会有条件通过，公司股票自</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日开始起复牌。</w:t>
      </w:r>
    </w:p>
    <w:p w:rsidR="00262BA9" w:rsidRDefault="00684726">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11</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日，公司收到证监会《关于核准北京荣之联科技股份有限公司向孙志民等发行股份购买资产并募集配套资金的批复》，同意公司向孙志民、侯卫民</w:t>
      </w:r>
      <w:r>
        <w:rPr>
          <w:rFonts w:eastAsia="Times New Roman"/>
          <w:kern w:val="0"/>
          <w:szCs w:val="24"/>
          <w:lang w:val="zh-CN"/>
        </w:rPr>
        <w:t>2</w:t>
      </w:r>
      <w:r>
        <w:rPr>
          <w:rFonts w:ascii="宋体" w:hAnsi="宋体" w:cs="宋体" w:hint="eastAsia"/>
          <w:kern w:val="0"/>
          <w:szCs w:val="24"/>
          <w:lang w:val="zh-CN"/>
        </w:rPr>
        <w:t>位自然人发行</w:t>
      </w:r>
      <w:r>
        <w:rPr>
          <w:rFonts w:eastAsia="Times New Roman"/>
          <w:kern w:val="0"/>
          <w:szCs w:val="24"/>
          <w:lang w:val="zh-CN"/>
        </w:rPr>
        <w:t>26,237,385</w:t>
      </w:r>
      <w:r>
        <w:rPr>
          <w:rFonts w:ascii="宋体" w:hAnsi="宋体" w:cs="宋体" w:hint="eastAsia"/>
          <w:kern w:val="0"/>
          <w:szCs w:val="24"/>
          <w:lang w:val="zh-CN"/>
        </w:rPr>
        <w:t>股，并同时募集配套资金不超过</w:t>
      </w:r>
      <w:r>
        <w:rPr>
          <w:rFonts w:eastAsia="Times New Roman"/>
          <w:kern w:val="0"/>
          <w:szCs w:val="24"/>
          <w:lang w:val="zh-CN"/>
        </w:rPr>
        <w:t>43,080</w:t>
      </w:r>
      <w:r>
        <w:rPr>
          <w:rFonts w:ascii="宋体" w:hAnsi="宋体" w:cs="宋体" w:hint="eastAsia"/>
          <w:kern w:val="0"/>
          <w:szCs w:val="24"/>
          <w:lang w:val="zh-CN"/>
        </w:rPr>
        <w:t>万元。</w:t>
      </w:r>
    </w:p>
    <w:p w:rsidR="00262BA9" w:rsidRDefault="00684726">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12</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7</w:t>
      </w:r>
      <w:r>
        <w:rPr>
          <w:rFonts w:ascii="宋体" w:hAnsi="宋体" w:cs="宋体" w:hint="eastAsia"/>
          <w:kern w:val="0"/>
          <w:szCs w:val="24"/>
          <w:lang w:val="zh-CN"/>
        </w:rPr>
        <w:t>日，本次发行股份及支付现金购买的标的资产深圳市</w:t>
      </w:r>
      <w:proofErr w:type="gramStart"/>
      <w:r>
        <w:rPr>
          <w:rFonts w:ascii="宋体" w:hAnsi="宋体" w:cs="宋体" w:hint="eastAsia"/>
          <w:kern w:val="0"/>
          <w:szCs w:val="24"/>
          <w:lang w:val="zh-CN"/>
        </w:rPr>
        <w:t>赞融电子</w:t>
      </w:r>
      <w:proofErr w:type="gramEnd"/>
      <w:r>
        <w:rPr>
          <w:rFonts w:ascii="宋体" w:hAnsi="宋体" w:cs="宋体" w:hint="eastAsia"/>
          <w:kern w:val="0"/>
          <w:szCs w:val="24"/>
          <w:lang w:val="zh-CN"/>
        </w:rPr>
        <w:t>技术有限公司的股权过户手续及相关工商登记已全部办理完成，其股权已变更登记至公司名下。</w:t>
      </w:r>
    </w:p>
    <w:p w:rsidR="00262BA9" w:rsidRDefault="00684726">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13</w:t>
      </w:r>
      <w:r>
        <w:rPr>
          <w:rFonts w:ascii="宋体" w:hAnsi="宋体" w:cs="宋体" w:hint="eastAsia"/>
          <w:kern w:val="0"/>
          <w:szCs w:val="24"/>
          <w:lang w:val="zh-CN"/>
        </w:rPr>
        <w:t>、</w:t>
      </w:r>
      <w:r>
        <w:rPr>
          <w:rFonts w:eastAsia="Times New Roman"/>
          <w:kern w:val="0"/>
          <w:szCs w:val="24"/>
          <w:lang w:val="zh-CN"/>
        </w:rPr>
        <w:t>2017</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25</w:t>
      </w:r>
      <w:r>
        <w:rPr>
          <w:rFonts w:ascii="宋体" w:hAnsi="宋体" w:cs="宋体" w:hint="eastAsia"/>
          <w:kern w:val="0"/>
          <w:szCs w:val="24"/>
          <w:lang w:val="zh-CN"/>
        </w:rPr>
        <w:t>日，本次交易中发行股份购买资产部分的非公开发行新增股份</w:t>
      </w:r>
      <w:r>
        <w:rPr>
          <w:rFonts w:eastAsia="Times New Roman"/>
          <w:kern w:val="0"/>
          <w:szCs w:val="24"/>
          <w:lang w:val="zh-CN"/>
        </w:rPr>
        <w:t>26,237,385</w:t>
      </w:r>
      <w:r>
        <w:rPr>
          <w:rFonts w:ascii="宋体" w:hAnsi="宋体" w:cs="宋体" w:hint="eastAsia"/>
          <w:kern w:val="0"/>
          <w:szCs w:val="24"/>
          <w:lang w:val="zh-CN"/>
        </w:rPr>
        <w:t>股，经深圳证券交易所批准在深圳证券交易所上市。另外，公司拟以询价方式向特定对象非公开发行股份募集不超过</w:t>
      </w:r>
      <w:r>
        <w:rPr>
          <w:rFonts w:eastAsia="Times New Roman"/>
          <w:kern w:val="0"/>
          <w:szCs w:val="24"/>
          <w:lang w:val="zh-CN"/>
        </w:rPr>
        <w:t>43,080</w:t>
      </w:r>
      <w:r>
        <w:rPr>
          <w:rFonts w:ascii="宋体" w:hAnsi="宋体" w:cs="宋体" w:hint="eastAsia"/>
          <w:kern w:val="0"/>
          <w:szCs w:val="24"/>
          <w:lang w:val="zh-CN"/>
        </w:rPr>
        <w:t>万元配套资金。目前，非公开发行股份募集配套资金事项尚未启动。</w:t>
      </w:r>
    </w:p>
    <w:tbl>
      <w:tblPr>
        <w:tblW w:w="0" w:type="auto"/>
        <w:tblInd w:w="28" w:type="dxa"/>
        <w:tblLayout w:type="fixed"/>
        <w:tblCellMar>
          <w:left w:w="28" w:type="dxa"/>
          <w:right w:w="28" w:type="dxa"/>
        </w:tblCellMar>
        <w:tblLook w:val="0000" w:firstRow="0" w:lastRow="0" w:firstColumn="0" w:lastColumn="0" w:noHBand="0" w:noVBand="0"/>
      </w:tblPr>
      <w:tblGrid>
        <w:gridCol w:w="3191"/>
        <w:gridCol w:w="3190"/>
        <w:gridCol w:w="3188"/>
      </w:tblGrid>
      <w:tr w:rsidR="00262BA9">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重要事项概述</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披露日期</w:t>
            </w:r>
          </w:p>
        </w:tc>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临时报告披露网站查询索引</w:t>
            </w:r>
          </w:p>
        </w:tc>
      </w:tr>
      <w:tr w:rsidR="00262BA9">
        <w:tc>
          <w:tcPr>
            <w:tcW w:w="3191" w:type="dxa"/>
            <w:vMerge w:val="restart"/>
            <w:tcBorders>
              <w:top w:val="single" w:sz="4" w:space="0" w:color="auto"/>
              <w:left w:val="single" w:sz="4" w:space="0" w:color="auto"/>
              <w:bottom w:val="single" w:sz="4" w:space="0" w:color="auto"/>
              <w:right w:val="single" w:sz="4" w:space="0" w:color="auto"/>
            </w:tcBorders>
            <w:vAlign w:val="center"/>
          </w:tcPr>
          <w:p w:rsidR="00262BA9" w:rsidRDefault="00684726">
            <w:pPr>
              <w:jc w:val="left"/>
              <w:rPr>
                <w:szCs w:val="24"/>
              </w:rPr>
            </w:pPr>
            <w:r>
              <w:rPr>
                <w:szCs w:val="24"/>
              </w:rPr>
              <w:t>发行股份及支付现金购买资产并募集配套资金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2017</w:t>
            </w:r>
            <w:r>
              <w:rPr>
                <w:szCs w:val="24"/>
              </w:rPr>
              <w:t>年</w:t>
            </w:r>
            <w:r>
              <w:rPr>
                <w:szCs w:val="24"/>
              </w:rPr>
              <w:t>06</w:t>
            </w:r>
            <w:r>
              <w:rPr>
                <w:szCs w:val="24"/>
              </w:rPr>
              <w:t>月</w:t>
            </w:r>
            <w:r>
              <w:rPr>
                <w:szCs w:val="24"/>
              </w:rPr>
              <w:t>23</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巨潮资讯网</w:t>
            </w:r>
            <w:r>
              <w:rPr>
                <w:szCs w:val="24"/>
              </w:rPr>
              <w:t>(http://www.cninfo.com.cn)</w:t>
            </w:r>
          </w:p>
        </w:tc>
      </w:tr>
      <w:tr w:rsidR="00262BA9">
        <w:tc>
          <w:tcPr>
            <w:tcW w:w="3191"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2017</w:t>
            </w:r>
            <w:r>
              <w:rPr>
                <w:szCs w:val="24"/>
              </w:rPr>
              <w:t>年</w:t>
            </w:r>
            <w:r>
              <w:rPr>
                <w:szCs w:val="24"/>
              </w:rPr>
              <w:t>07</w:t>
            </w:r>
            <w:r>
              <w:rPr>
                <w:szCs w:val="24"/>
              </w:rPr>
              <w:t>月</w:t>
            </w:r>
            <w:r>
              <w:rPr>
                <w:szCs w:val="24"/>
              </w:rPr>
              <w:t>11</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巨潮资讯网</w:t>
            </w:r>
            <w:r>
              <w:rPr>
                <w:szCs w:val="24"/>
              </w:rPr>
              <w:t>(http://www.cninfo.com.cn)</w:t>
            </w:r>
          </w:p>
        </w:tc>
      </w:tr>
      <w:tr w:rsidR="00262BA9">
        <w:tc>
          <w:tcPr>
            <w:tcW w:w="3191"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2017</w:t>
            </w:r>
            <w:r>
              <w:rPr>
                <w:szCs w:val="24"/>
              </w:rPr>
              <w:t>年</w:t>
            </w:r>
            <w:r>
              <w:rPr>
                <w:szCs w:val="24"/>
              </w:rPr>
              <w:t>07</w:t>
            </w:r>
            <w:r>
              <w:rPr>
                <w:szCs w:val="24"/>
              </w:rPr>
              <w:t>月</w:t>
            </w:r>
            <w:r>
              <w:rPr>
                <w:szCs w:val="24"/>
              </w:rPr>
              <w:t>11</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巨潮资讯网</w:t>
            </w:r>
            <w:r>
              <w:rPr>
                <w:szCs w:val="24"/>
              </w:rPr>
              <w:t>(http://www.cninfo.com.cn)</w:t>
            </w:r>
          </w:p>
        </w:tc>
      </w:tr>
      <w:tr w:rsidR="00262BA9">
        <w:tc>
          <w:tcPr>
            <w:tcW w:w="3191"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2017</w:t>
            </w:r>
            <w:r>
              <w:rPr>
                <w:szCs w:val="24"/>
              </w:rPr>
              <w:t>年</w:t>
            </w:r>
            <w:r>
              <w:rPr>
                <w:szCs w:val="24"/>
              </w:rPr>
              <w:t>07</w:t>
            </w:r>
            <w:r>
              <w:rPr>
                <w:szCs w:val="24"/>
              </w:rPr>
              <w:t>月</w:t>
            </w:r>
            <w:r>
              <w:rPr>
                <w:szCs w:val="24"/>
              </w:rPr>
              <w:t>28</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巨潮资讯网</w:t>
            </w:r>
            <w:r>
              <w:rPr>
                <w:szCs w:val="24"/>
              </w:rPr>
              <w:t>(http://www.cninfo.com.cn)</w:t>
            </w:r>
          </w:p>
        </w:tc>
      </w:tr>
      <w:tr w:rsidR="00262BA9">
        <w:tc>
          <w:tcPr>
            <w:tcW w:w="3191"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2017</w:t>
            </w:r>
            <w:r>
              <w:rPr>
                <w:szCs w:val="24"/>
              </w:rPr>
              <w:t>年</w:t>
            </w:r>
            <w:r>
              <w:rPr>
                <w:szCs w:val="24"/>
              </w:rPr>
              <w:t>08</w:t>
            </w:r>
            <w:r>
              <w:rPr>
                <w:szCs w:val="24"/>
              </w:rPr>
              <w:t>月</w:t>
            </w:r>
            <w:r>
              <w:rPr>
                <w:szCs w:val="24"/>
              </w:rPr>
              <w:t>16</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巨潮资讯网</w:t>
            </w:r>
            <w:r>
              <w:rPr>
                <w:szCs w:val="24"/>
              </w:rPr>
              <w:t>(http://www.cninfo.com.cn)</w:t>
            </w:r>
          </w:p>
        </w:tc>
      </w:tr>
      <w:tr w:rsidR="00262BA9">
        <w:tc>
          <w:tcPr>
            <w:tcW w:w="3191"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2017</w:t>
            </w:r>
            <w:r>
              <w:rPr>
                <w:szCs w:val="24"/>
              </w:rPr>
              <w:t>年</w:t>
            </w:r>
            <w:r>
              <w:rPr>
                <w:szCs w:val="24"/>
              </w:rPr>
              <w:t>08</w:t>
            </w:r>
            <w:r>
              <w:rPr>
                <w:szCs w:val="24"/>
              </w:rPr>
              <w:t>月</w:t>
            </w:r>
            <w:r>
              <w:rPr>
                <w:szCs w:val="24"/>
              </w:rPr>
              <w:t>25</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巨潮资讯网</w:t>
            </w:r>
            <w:r>
              <w:rPr>
                <w:szCs w:val="24"/>
              </w:rPr>
              <w:t>(http://www.cninfo.com.cn)</w:t>
            </w:r>
          </w:p>
        </w:tc>
      </w:tr>
      <w:tr w:rsidR="00262BA9">
        <w:tc>
          <w:tcPr>
            <w:tcW w:w="3191"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2017</w:t>
            </w:r>
            <w:r>
              <w:rPr>
                <w:szCs w:val="24"/>
              </w:rPr>
              <w:t>年</w:t>
            </w:r>
            <w:r>
              <w:rPr>
                <w:szCs w:val="24"/>
              </w:rPr>
              <w:t>09</w:t>
            </w:r>
            <w:r>
              <w:rPr>
                <w:szCs w:val="24"/>
              </w:rPr>
              <w:t>月</w:t>
            </w:r>
            <w:r>
              <w:rPr>
                <w:szCs w:val="24"/>
              </w:rPr>
              <w:t>01</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巨潮资讯网</w:t>
            </w:r>
            <w:r>
              <w:rPr>
                <w:szCs w:val="24"/>
              </w:rPr>
              <w:t>(http://www.cninfo.com.cn)</w:t>
            </w:r>
          </w:p>
        </w:tc>
      </w:tr>
      <w:tr w:rsidR="00262BA9">
        <w:tc>
          <w:tcPr>
            <w:tcW w:w="3191"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2017</w:t>
            </w:r>
            <w:r>
              <w:rPr>
                <w:szCs w:val="24"/>
              </w:rPr>
              <w:t>年</w:t>
            </w:r>
            <w:r>
              <w:rPr>
                <w:szCs w:val="24"/>
              </w:rPr>
              <w:t>11</w:t>
            </w:r>
            <w:r>
              <w:rPr>
                <w:szCs w:val="24"/>
              </w:rPr>
              <w:t>月</w:t>
            </w:r>
            <w:r>
              <w:rPr>
                <w:szCs w:val="24"/>
              </w:rPr>
              <w:t>04</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巨潮资讯网</w:t>
            </w:r>
            <w:r>
              <w:rPr>
                <w:szCs w:val="24"/>
              </w:rPr>
              <w:t>(http://www.cninfo.com.cn)</w:t>
            </w:r>
          </w:p>
        </w:tc>
      </w:tr>
      <w:tr w:rsidR="00262BA9">
        <w:tc>
          <w:tcPr>
            <w:tcW w:w="3191"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2017</w:t>
            </w:r>
            <w:r>
              <w:rPr>
                <w:szCs w:val="24"/>
              </w:rPr>
              <w:t>年</w:t>
            </w:r>
            <w:r>
              <w:rPr>
                <w:szCs w:val="24"/>
              </w:rPr>
              <w:t>11</w:t>
            </w:r>
            <w:r>
              <w:rPr>
                <w:szCs w:val="24"/>
              </w:rPr>
              <w:t>月</w:t>
            </w:r>
            <w:r>
              <w:rPr>
                <w:szCs w:val="24"/>
              </w:rPr>
              <w:t>09</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巨潮资讯网</w:t>
            </w:r>
            <w:r>
              <w:rPr>
                <w:szCs w:val="24"/>
              </w:rPr>
              <w:t>(http://www.cninfo.com.cn)</w:t>
            </w:r>
          </w:p>
        </w:tc>
      </w:tr>
      <w:tr w:rsidR="00262BA9">
        <w:tc>
          <w:tcPr>
            <w:tcW w:w="3191" w:type="dxa"/>
            <w:vMerge/>
            <w:tcBorders>
              <w:top w:val="single" w:sz="4" w:space="0" w:color="auto"/>
              <w:left w:val="single" w:sz="4" w:space="0" w:color="auto"/>
              <w:bottom w:val="single" w:sz="4" w:space="0" w:color="auto"/>
              <w:right w:val="single" w:sz="4" w:space="0" w:color="auto"/>
            </w:tcBorders>
            <w:vAlign w:val="center"/>
          </w:tcPr>
          <w:p w:rsidR="00262BA9" w:rsidRDefault="00262BA9">
            <w:pPr>
              <w:jc w:val="lef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2017</w:t>
            </w:r>
            <w:r>
              <w:rPr>
                <w:szCs w:val="24"/>
              </w:rPr>
              <w:t>年</w:t>
            </w:r>
            <w:r>
              <w:rPr>
                <w:szCs w:val="24"/>
              </w:rPr>
              <w:t>12</w:t>
            </w:r>
            <w:r>
              <w:rPr>
                <w:szCs w:val="24"/>
              </w:rPr>
              <w:t>月</w:t>
            </w:r>
            <w:r>
              <w:rPr>
                <w:szCs w:val="24"/>
              </w:rPr>
              <w:t>22</w:t>
            </w:r>
            <w:r>
              <w:rPr>
                <w:szCs w:val="24"/>
              </w:rPr>
              <w:t>日</w:t>
            </w:r>
          </w:p>
        </w:tc>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巨潮资讯网</w:t>
            </w:r>
            <w:r>
              <w:rPr>
                <w:szCs w:val="24"/>
              </w:rPr>
              <w:t>(http://www.cninfo.com.cn)</w:t>
            </w:r>
          </w:p>
        </w:tc>
      </w:tr>
    </w:tbl>
    <w:p w:rsidR="00262BA9" w:rsidRDefault="00684726">
      <w:pPr>
        <w:pStyle w:val="Chapter"/>
        <w:outlineLvl w:val="1"/>
        <w:rPr>
          <w:bCs w:val="0"/>
        </w:rPr>
      </w:pPr>
      <w:r>
        <w:rPr>
          <w:bCs w:val="0"/>
        </w:rPr>
        <w:t>三、公司实际控制人、股东、关联方、收购人以及公司等承诺相关方在报告期内超期未履行完毕的承诺事项</w:t>
      </w:r>
    </w:p>
    <w:p w:rsidR="00262BA9" w:rsidRDefault="00684726">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262BA9" w:rsidRDefault="00684726">
      <w:pPr>
        <w:jc w:val="left"/>
        <w:rPr>
          <w:szCs w:val="24"/>
        </w:rPr>
      </w:pPr>
      <w:r>
        <w:rPr>
          <w:szCs w:val="24"/>
        </w:rPr>
        <w:t>公司报告期不存在公司实际控制人、股东、关联方、收购人以及公司等承诺相关方在报告期内超期未履行完毕的承诺事项。</w:t>
      </w:r>
    </w:p>
    <w:p w:rsidR="00262BA9" w:rsidRDefault="00684726">
      <w:pPr>
        <w:pStyle w:val="Chapter"/>
        <w:outlineLvl w:val="1"/>
        <w:rPr>
          <w:bCs w:val="0"/>
        </w:rPr>
      </w:pPr>
      <w:r>
        <w:rPr>
          <w:bCs w:val="0"/>
        </w:rPr>
        <w:t>四、对</w:t>
      </w:r>
      <w:r>
        <w:rPr>
          <w:bCs w:val="0"/>
        </w:rPr>
        <w:t>2018</w:t>
      </w:r>
      <w:r>
        <w:rPr>
          <w:bCs w:val="0"/>
        </w:rPr>
        <w:t>年</w:t>
      </w:r>
      <w:r>
        <w:rPr>
          <w:bCs w:val="0"/>
        </w:rPr>
        <w:t>1-6</w:t>
      </w:r>
      <w:r>
        <w:rPr>
          <w:bCs w:val="0"/>
        </w:rPr>
        <w:t>月经营业绩的预计</w:t>
      </w:r>
    </w:p>
    <w:p w:rsidR="00262BA9" w:rsidRDefault="00684726">
      <w:pPr>
        <w:jc w:val="left"/>
        <w:rPr>
          <w:szCs w:val="24"/>
        </w:rPr>
      </w:pPr>
      <w:r>
        <w:rPr>
          <w:szCs w:val="24"/>
        </w:rPr>
        <w:t>2018</w:t>
      </w:r>
      <w:r>
        <w:rPr>
          <w:szCs w:val="24"/>
        </w:rPr>
        <w:t>年</w:t>
      </w:r>
      <w:r>
        <w:rPr>
          <w:szCs w:val="24"/>
        </w:rPr>
        <w:t>1-6</w:t>
      </w:r>
      <w:r>
        <w:rPr>
          <w:szCs w:val="24"/>
        </w:rPr>
        <w:t>月预计的经营业绩情况：与上年同期相比扭亏为盈</w:t>
      </w:r>
    </w:p>
    <w:p w:rsidR="002C40B5" w:rsidRDefault="00684726">
      <w:pPr>
        <w:jc w:val="left"/>
        <w:rPr>
          <w:szCs w:val="24"/>
        </w:rPr>
      </w:pPr>
      <w:r>
        <w:rPr>
          <w:szCs w:val="24"/>
        </w:rPr>
        <w:t>与上年同期相比扭亏为盈</w:t>
      </w:r>
    </w:p>
    <w:tbl>
      <w:tblPr>
        <w:tblW w:w="0" w:type="auto"/>
        <w:tblInd w:w="28" w:type="dxa"/>
        <w:tblCellMar>
          <w:left w:w="0" w:type="dxa"/>
          <w:right w:w="0" w:type="dxa"/>
        </w:tblCellMar>
        <w:tblLook w:val="04A0" w:firstRow="1" w:lastRow="0" w:firstColumn="1" w:lastColumn="0" w:noHBand="0" w:noVBand="1"/>
      </w:tblPr>
      <w:tblGrid>
        <w:gridCol w:w="2968"/>
        <w:gridCol w:w="2123"/>
        <w:gridCol w:w="669"/>
        <w:gridCol w:w="3830"/>
      </w:tblGrid>
      <w:tr w:rsidR="002C40B5" w:rsidRPr="002C40B5" w:rsidTr="002C40B5">
        <w:tc>
          <w:tcPr>
            <w:tcW w:w="3726" w:type="dxa"/>
            <w:tcBorders>
              <w:top w:val="single" w:sz="8" w:space="0" w:color="auto"/>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C40B5" w:rsidRPr="002C40B5" w:rsidRDefault="002C40B5" w:rsidP="002C40B5">
            <w:pPr>
              <w:widowControl/>
              <w:jc w:val="left"/>
              <w:rPr>
                <w:kern w:val="0"/>
              </w:rPr>
            </w:pPr>
            <w:r w:rsidRPr="002C40B5">
              <w:rPr>
                <w:kern w:val="0"/>
              </w:rPr>
              <w:t>2018</w:t>
            </w:r>
            <w:r w:rsidRPr="002C40B5">
              <w:rPr>
                <w:rFonts w:ascii="宋体" w:hAnsi="宋体" w:hint="eastAsia"/>
                <w:kern w:val="0"/>
              </w:rPr>
              <w:t>年</w:t>
            </w:r>
            <w:r w:rsidRPr="002C40B5">
              <w:rPr>
                <w:kern w:val="0"/>
              </w:rPr>
              <w:t>1-6</w:t>
            </w:r>
            <w:r w:rsidRPr="002C40B5">
              <w:rPr>
                <w:rFonts w:ascii="宋体" w:hAnsi="宋体" w:hint="eastAsia"/>
                <w:kern w:val="0"/>
              </w:rPr>
              <w:t>月净利润与上年同期相比扭亏为盈（万元）</w:t>
            </w:r>
          </w:p>
        </w:tc>
        <w:tc>
          <w:tcPr>
            <w:tcW w:w="265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C40B5" w:rsidRPr="002C40B5" w:rsidRDefault="002C40B5" w:rsidP="002C40B5">
            <w:pPr>
              <w:widowControl/>
              <w:jc w:val="right"/>
              <w:rPr>
                <w:kern w:val="0"/>
              </w:rPr>
            </w:pPr>
            <w:r w:rsidRPr="002C40B5">
              <w:rPr>
                <w:kern w:val="0"/>
              </w:rPr>
              <w:t>100</w:t>
            </w:r>
          </w:p>
        </w:tc>
        <w:tc>
          <w:tcPr>
            <w:tcW w:w="798" w:type="dxa"/>
            <w:tcBorders>
              <w:top w:val="single" w:sz="8" w:space="0" w:color="auto"/>
              <w:left w:val="nil"/>
              <w:bottom w:val="single" w:sz="8" w:space="0" w:color="auto"/>
              <w:right w:val="single" w:sz="8" w:space="0" w:color="auto"/>
            </w:tcBorders>
            <w:shd w:val="clear" w:color="auto" w:fill="D3D3D3"/>
            <w:tcMar>
              <w:top w:w="0" w:type="dxa"/>
              <w:left w:w="28" w:type="dxa"/>
              <w:bottom w:w="0" w:type="dxa"/>
              <w:right w:w="28" w:type="dxa"/>
            </w:tcMar>
            <w:vAlign w:val="center"/>
            <w:hideMark/>
          </w:tcPr>
          <w:p w:rsidR="002C40B5" w:rsidRPr="002C40B5" w:rsidRDefault="002C40B5" w:rsidP="002C40B5">
            <w:pPr>
              <w:widowControl/>
              <w:jc w:val="center"/>
              <w:rPr>
                <w:kern w:val="0"/>
              </w:rPr>
            </w:pPr>
            <w:r w:rsidRPr="002C40B5">
              <w:rPr>
                <w:rFonts w:ascii="宋体" w:hAnsi="宋体" w:hint="eastAsia"/>
                <w:kern w:val="0"/>
              </w:rPr>
              <w:t>至</w:t>
            </w:r>
          </w:p>
        </w:tc>
        <w:tc>
          <w:tcPr>
            <w:tcW w:w="4832"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C40B5" w:rsidRPr="002C40B5" w:rsidRDefault="002C40B5" w:rsidP="002C40B5">
            <w:pPr>
              <w:widowControl/>
              <w:jc w:val="right"/>
              <w:rPr>
                <w:kern w:val="0"/>
              </w:rPr>
            </w:pPr>
            <w:r w:rsidRPr="002C40B5">
              <w:rPr>
                <w:kern w:val="0"/>
              </w:rPr>
              <w:t>1,000</w:t>
            </w:r>
          </w:p>
        </w:tc>
      </w:tr>
      <w:tr w:rsidR="002C40B5" w:rsidRPr="002C40B5" w:rsidTr="002C40B5">
        <w:tc>
          <w:tcPr>
            <w:tcW w:w="3726"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C40B5" w:rsidRPr="002C40B5" w:rsidRDefault="002C40B5" w:rsidP="002C40B5">
            <w:pPr>
              <w:widowControl/>
              <w:jc w:val="left"/>
              <w:rPr>
                <w:kern w:val="0"/>
              </w:rPr>
            </w:pPr>
            <w:r w:rsidRPr="002C40B5">
              <w:rPr>
                <w:kern w:val="0"/>
              </w:rPr>
              <w:t>2017</w:t>
            </w:r>
            <w:r w:rsidRPr="002C40B5">
              <w:rPr>
                <w:rFonts w:ascii="宋体" w:hAnsi="宋体" w:hint="eastAsia"/>
                <w:kern w:val="0"/>
              </w:rPr>
              <w:t>年</w:t>
            </w:r>
            <w:r w:rsidRPr="002C40B5">
              <w:rPr>
                <w:kern w:val="0"/>
              </w:rPr>
              <w:t>1-6</w:t>
            </w:r>
            <w:r w:rsidRPr="002C40B5">
              <w:rPr>
                <w:rFonts w:ascii="宋体" w:hAnsi="宋体" w:hint="eastAsia"/>
                <w:kern w:val="0"/>
              </w:rPr>
              <w:t>月归属于上市公司股东的净利润（万元）</w:t>
            </w:r>
          </w:p>
        </w:tc>
        <w:tc>
          <w:tcPr>
            <w:tcW w:w="8287" w:type="dxa"/>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C40B5" w:rsidRPr="002C40B5" w:rsidRDefault="002C40B5" w:rsidP="002C40B5">
            <w:pPr>
              <w:widowControl/>
              <w:jc w:val="right"/>
              <w:rPr>
                <w:kern w:val="0"/>
              </w:rPr>
            </w:pPr>
            <w:r w:rsidRPr="002C40B5">
              <w:rPr>
                <w:kern w:val="0"/>
              </w:rPr>
              <w:t>-2,201.89</w:t>
            </w:r>
          </w:p>
        </w:tc>
      </w:tr>
      <w:tr w:rsidR="002C40B5" w:rsidRPr="002C40B5" w:rsidTr="002C40B5">
        <w:tc>
          <w:tcPr>
            <w:tcW w:w="3726" w:type="dxa"/>
            <w:tcBorders>
              <w:top w:val="nil"/>
              <w:left w:val="single" w:sz="8" w:space="0" w:color="auto"/>
              <w:bottom w:val="single" w:sz="8" w:space="0" w:color="auto"/>
              <w:right w:val="single" w:sz="8" w:space="0" w:color="auto"/>
            </w:tcBorders>
            <w:shd w:val="clear" w:color="auto" w:fill="D3D3D3"/>
            <w:tcMar>
              <w:top w:w="0" w:type="dxa"/>
              <w:left w:w="28" w:type="dxa"/>
              <w:bottom w:w="0" w:type="dxa"/>
              <w:right w:w="28" w:type="dxa"/>
            </w:tcMar>
            <w:vAlign w:val="center"/>
            <w:hideMark/>
          </w:tcPr>
          <w:p w:rsidR="002C40B5" w:rsidRPr="002C40B5" w:rsidRDefault="002C40B5" w:rsidP="002C40B5">
            <w:pPr>
              <w:widowControl/>
              <w:jc w:val="left"/>
              <w:rPr>
                <w:kern w:val="0"/>
              </w:rPr>
            </w:pPr>
            <w:r w:rsidRPr="002C40B5">
              <w:rPr>
                <w:rFonts w:ascii="宋体" w:hAnsi="宋体" w:hint="eastAsia"/>
                <w:kern w:val="0"/>
              </w:rPr>
              <w:t>业绩变动的原因说明</w:t>
            </w:r>
          </w:p>
        </w:tc>
        <w:tc>
          <w:tcPr>
            <w:tcW w:w="8287" w:type="dxa"/>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2C40B5" w:rsidRPr="002C40B5" w:rsidRDefault="00B21525" w:rsidP="002C40B5">
            <w:pPr>
              <w:widowControl/>
              <w:numPr>
                <w:ilvl w:val="0"/>
                <w:numId w:val="1"/>
              </w:numPr>
              <w:rPr>
                <w:kern w:val="0"/>
              </w:rPr>
            </w:pPr>
            <w:r>
              <w:rPr>
                <w:rFonts w:ascii="宋体" w:hAnsi="宋体" w:hint="eastAsia"/>
                <w:kern w:val="0"/>
              </w:rPr>
              <w:t>公司半年度业绩扭亏为盈</w:t>
            </w:r>
            <w:bookmarkStart w:id="3" w:name="_GoBack"/>
            <w:bookmarkEnd w:id="3"/>
            <w:r w:rsidR="002C40B5" w:rsidRPr="002C40B5">
              <w:rPr>
                <w:rFonts w:ascii="宋体" w:hAnsi="宋体" w:hint="eastAsia"/>
                <w:kern w:val="0"/>
              </w:rPr>
              <w:t>的原因：</w:t>
            </w:r>
          </w:p>
          <w:p w:rsidR="002C40B5" w:rsidRPr="002C40B5" w:rsidRDefault="002C40B5" w:rsidP="002C40B5">
            <w:pPr>
              <w:widowControl/>
              <w:rPr>
                <w:kern w:val="0"/>
              </w:rPr>
            </w:pPr>
            <w:r>
              <w:rPr>
                <w:rFonts w:ascii="宋体" w:hAnsi="宋体" w:hint="eastAsia"/>
                <w:kern w:val="0"/>
              </w:rPr>
              <w:t>1）</w:t>
            </w:r>
            <w:r w:rsidRPr="002C40B5">
              <w:rPr>
                <w:rFonts w:ascii="宋体" w:hAnsi="宋体" w:hint="eastAsia"/>
                <w:kern w:val="0"/>
              </w:rPr>
              <w:t>公司收入较上年同期有大幅增长；</w:t>
            </w:r>
          </w:p>
          <w:p w:rsidR="002C40B5" w:rsidRPr="002C40B5" w:rsidRDefault="002C40B5" w:rsidP="002C40B5">
            <w:pPr>
              <w:widowControl/>
              <w:rPr>
                <w:kern w:val="0"/>
              </w:rPr>
            </w:pPr>
            <w:r>
              <w:rPr>
                <w:rFonts w:ascii="宋体" w:hAnsi="宋体"/>
                <w:kern w:val="0"/>
              </w:rPr>
              <w:t>2</w:t>
            </w:r>
            <w:r>
              <w:rPr>
                <w:rFonts w:ascii="宋体" w:hAnsi="宋体" w:hint="eastAsia"/>
                <w:kern w:val="0"/>
              </w:rPr>
              <w:t>）</w:t>
            </w:r>
            <w:r w:rsidRPr="002C40B5">
              <w:rPr>
                <w:rFonts w:ascii="宋体" w:hAnsi="宋体" w:hint="eastAsia"/>
                <w:kern w:val="0"/>
              </w:rPr>
              <w:t>合并报表范围增加，</w:t>
            </w:r>
            <w:r w:rsidRPr="002C40B5">
              <w:rPr>
                <w:kern w:val="0"/>
              </w:rPr>
              <w:t>2017</w:t>
            </w:r>
            <w:r w:rsidRPr="002C40B5">
              <w:rPr>
                <w:rFonts w:ascii="宋体" w:hAnsi="宋体" w:hint="eastAsia"/>
                <w:kern w:val="0"/>
              </w:rPr>
              <w:t>年并购的深圳市</w:t>
            </w:r>
            <w:proofErr w:type="gramStart"/>
            <w:r w:rsidRPr="002C40B5">
              <w:rPr>
                <w:rFonts w:ascii="宋体" w:hAnsi="宋体" w:hint="eastAsia"/>
                <w:kern w:val="0"/>
              </w:rPr>
              <w:t>赞融电子</w:t>
            </w:r>
            <w:proofErr w:type="gramEnd"/>
            <w:r w:rsidRPr="002C40B5">
              <w:rPr>
                <w:rFonts w:ascii="宋体" w:hAnsi="宋体" w:hint="eastAsia"/>
                <w:kern w:val="0"/>
              </w:rPr>
              <w:t>技术有限公司的净利润纳入合并报表；</w:t>
            </w:r>
          </w:p>
          <w:p w:rsidR="002C40B5" w:rsidRPr="002C40B5" w:rsidRDefault="002C40B5" w:rsidP="002C40B5">
            <w:pPr>
              <w:widowControl/>
              <w:rPr>
                <w:kern w:val="0"/>
              </w:rPr>
            </w:pPr>
            <w:r w:rsidRPr="002C40B5">
              <w:rPr>
                <w:kern w:val="0"/>
              </w:rPr>
              <w:t>2</w:t>
            </w:r>
            <w:r w:rsidRPr="002C40B5">
              <w:rPr>
                <w:rFonts w:ascii="宋体" w:hAnsi="宋体" w:hint="eastAsia"/>
                <w:kern w:val="0"/>
              </w:rPr>
              <w:t>、二季度利润较一季度下降的原因：公司发放上年度绩效工资及奖金导致二季度人力资源成本较高</w:t>
            </w:r>
            <w:r>
              <w:rPr>
                <w:rFonts w:ascii="宋体" w:hAnsi="宋体" w:hint="eastAsia"/>
                <w:kern w:val="0"/>
              </w:rPr>
              <w:t>。</w:t>
            </w:r>
          </w:p>
        </w:tc>
      </w:tr>
    </w:tbl>
    <w:p w:rsidR="00262BA9" w:rsidRDefault="00684726">
      <w:pPr>
        <w:pStyle w:val="Chapter"/>
        <w:outlineLvl w:val="1"/>
        <w:rPr>
          <w:bCs w:val="0"/>
        </w:rPr>
      </w:pPr>
      <w:r>
        <w:rPr>
          <w:bCs w:val="0"/>
        </w:rPr>
        <w:t>五、以公允价值计量的金融资产</w:t>
      </w:r>
    </w:p>
    <w:p w:rsidR="00262BA9" w:rsidRDefault="00684726">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262BA9" w:rsidRDefault="00684726">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87"/>
        <w:gridCol w:w="895"/>
        <w:gridCol w:w="1089"/>
        <w:gridCol w:w="1179"/>
        <w:gridCol w:w="1194"/>
        <w:gridCol w:w="956"/>
        <w:gridCol w:w="956"/>
        <w:gridCol w:w="956"/>
        <w:gridCol w:w="956"/>
      </w:tblGrid>
      <w:tr w:rsidR="00262BA9">
        <w:tc>
          <w:tcPr>
            <w:tcW w:w="138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资产类别</w:t>
            </w:r>
          </w:p>
        </w:tc>
        <w:tc>
          <w:tcPr>
            <w:tcW w:w="895"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初始投资成本</w:t>
            </w:r>
          </w:p>
        </w:tc>
        <w:tc>
          <w:tcPr>
            <w:tcW w:w="1089"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本期公允价值变动损益</w:t>
            </w:r>
          </w:p>
        </w:tc>
        <w:tc>
          <w:tcPr>
            <w:tcW w:w="1179"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计入权益的累计公允价值变动</w:t>
            </w:r>
          </w:p>
        </w:tc>
        <w:tc>
          <w:tcPr>
            <w:tcW w:w="1194"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报告期内购入金额</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报告期内售出金额</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累计投资收益</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期末金额</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资金来源</w:t>
            </w:r>
          </w:p>
        </w:tc>
      </w:tr>
      <w:tr w:rsidR="00262BA9">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股票</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35,000,000.00</w:t>
            </w:r>
          </w:p>
        </w:tc>
        <w:tc>
          <w:tcPr>
            <w:tcW w:w="1089"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9,417,406.60</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59,479,950.35</w:t>
            </w: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94,479,950.35</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left"/>
              <w:rPr>
                <w:szCs w:val="24"/>
              </w:rPr>
            </w:pPr>
            <w:r>
              <w:rPr>
                <w:szCs w:val="24"/>
              </w:rPr>
              <w:t>自有</w:t>
            </w:r>
          </w:p>
        </w:tc>
      </w:tr>
      <w:tr w:rsidR="00262BA9">
        <w:tc>
          <w:tcPr>
            <w:tcW w:w="138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lastRenderedPageBreak/>
              <w:t>合计</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35,000,000.00</w:t>
            </w:r>
          </w:p>
        </w:tc>
        <w:tc>
          <w:tcPr>
            <w:tcW w:w="1089"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9,417,406.60</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59,479,950.35</w:t>
            </w: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0.00</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0.00</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0.00</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94,479,950.35</w:t>
            </w:r>
          </w:p>
        </w:tc>
        <w:tc>
          <w:tcPr>
            <w:tcW w:w="956"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w:t>
            </w:r>
          </w:p>
        </w:tc>
      </w:tr>
    </w:tbl>
    <w:p w:rsidR="00262BA9" w:rsidRDefault="00684726">
      <w:pPr>
        <w:pStyle w:val="Chapter"/>
        <w:outlineLvl w:val="1"/>
        <w:rPr>
          <w:bCs w:val="0"/>
        </w:rPr>
      </w:pPr>
      <w:r>
        <w:rPr>
          <w:bCs w:val="0"/>
        </w:rPr>
        <w:t>六、违规对外担保情况</w:t>
      </w:r>
    </w:p>
    <w:p w:rsidR="00262BA9" w:rsidRDefault="00684726">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262BA9" w:rsidRDefault="00684726">
      <w:pPr>
        <w:jc w:val="left"/>
        <w:rPr>
          <w:szCs w:val="24"/>
        </w:rPr>
      </w:pPr>
      <w:r>
        <w:rPr>
          <w:szCs w:val="24"/>
        </w:rPr>
        <w:t>公司报告期无违规对外担保情况。</w:t>
      </w:r>
    </w:p>
    <w:p w:rsidR="00262BA9" w:rsidRDefault="00684726">
      <w:pPr>
        <w:pStyle w:val="Chapter"/>
        <w:outlineLvl w:val="1"/>
        <w:rPr>
          <w:bCs w:val="0"/>
        </w:rPr>
      </w:pPr>
      <w:r>
        <w:rPr>
          <w:bCs w:val="0"/>
        </w:rPr>
        <w:t>七、控股股东及其关联方对上市公司的非经营性占用资金情况</w:t>
      </w:r>
    </w:p>
    <w:p w:rsidR="00262BA9" w:rsidRDefault="00684726">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262BA9" w:rsidRDefault="00684726">
      <w:pPr>
        <w:jc w:val="left"/>
        <w:rPr>
          <w:szCs w:val="24"/>
        </w:rPr>
      </w:pPr>
      <w:r>
        <w:rPr>
          <w:szCs w:val="24"/>
        </w:rPr>
        <w:t>公司报告期不存在控股股东及其关联方对上市公司的非经营性占用资金。</w:t>
      </w:r>
    </w:p>
    <w:p w:rsidR="00262BA9" w:rsidRDefault="00684726">
      <w:pPr>
        <w:pStyle w:val="Chapter"/>
        <w:outlineLvl w:val="1"/>
        <w:rPr>
          <w:bCs w:val="0"/>
        </w:rPr>
      </w:pPr>
      <w:r>
        <w:rPr>
          <w:bCs w:val="0"/>
        </w:rPr>
        <w:t>八、报告期内接待调研、沟通、采访等活动登记表</w:t>
      </w:r>
    </w:p>
    <w:p w:rsidR="00262BA9" w:rsidRDefault="00684726">
      <w:pPr>
        <w:jc w:val="left"/>
        <w:rPr>
          <w:szCs w:val="24"/>
        </w:rPr>
      </w:pPr>
      <w:r>
        <w:rPr>
          <w:szCs w:val="24"/>
        </w:rPr>
        <w:t xml:space="preserve">□ </w:t>
      </w:r>
      <w:r>
        <w:rPr>
          <w:szCs w:val="24"/>
        </w:rPr>
        <w:t>适用</w:t>
      </w:r>
      <w:r>
        <w:rPr>
          <w:szCs w:val="24"/>
        </w:rPr>
        <w:t xml:space="preserve"> √ </w:t>
      </w:r>
      <w:r>
        <w:rPr>
          <w:szCs w:val="24"/>
        </w:rPr>
        <w:t>不适用</w:t>
      </w:r>
      <w:r>
        <w:rPr>
          <w:szCs w:val="24"/>
        </w:rPr>
        <w:t xml:space="preserve"> </w:t>
      </w:r>
    </w:p>
    <w:p w:rsidR="00262BA9" w:rsidRDefault="00684726">
      <w:pPr>
        <w:jc w:val="left"/>
        <w:rPr>
          <w:szCs w:val="24"/>
        </w:rPr>
      </w:pPr>
      <w:r>
        <w:rPr>
          <w:szCs w:val="24"/>
        </w:rPr>
        <w:t>公司报告期内未发生接待调研、沟通、采访等活动。</w:t>
      </w:r>
    </w:p>
    <w:p w:rsidR="00262BA9" w:rsidRDefault="00262BA9">
      <w:pPr>
        <w:jc w:val="left"/>
        <w:rPr>
          <w:szCs w:val="24"/>
        </w:rPr>
        <w:sectPr w:rsidR="00262BA9" w:rsidSect="00CC5139">
          <w:pgSz w:w="11906" w:h="16838"/>
          <w:pgMar w:top="1440" w:right="1134" w:bottom="1440" w:left="1134" w:header="851" w:footer="992" w:gutter="0"/>
          <w:cols w:space="425"/>
          <w:docGrid w:type="lines" w:linePitch="312"/>
        </w:sectPr>
      </w:pPr>
    </w:p>
    <w:p w:rsidR="00262BA9" w:rsidRDefault="00684726">
      <w:pPr>
        <w:pStyle w:val="a3"/>
        <w:outlineLvl w:val="0"/>
        <w:rPr>
          <w:bCs w:val="0"/>
          <w:szCs w:val="24"/>
        </w:rPr>
      </w:pPr>
      <w:bookmarkStart w:id="4" w:name="_Toc300000087"/>
      <w:r>
        <w:rPr>
          <w:bCs w:val="0"/>
          <w:szCs w:val="24"/>
        </w:rPr>
        <w:lastRenderedPageBreak/>
        <w:t>第四节</w:t>
      </w:r>
      <w:r>
        <w:rPr>
          <w:bCs w:val="0"/>
          <w:szCs w:val="24"/>
        </w:rPr>
        <w:t xml:space="preserve"> </w:t>
      </w:r>
      <w:r>
        <w:rPr>
          <w:bCs w:val="0"/>
          <w:szCs w:val="24"/>
        </w:rPr>
        <w:t>财务报表</w:t>
      </w:r>
      <w:bookmarkEnd w:id="4"/>
    </w:p>
    <w:p w:rsidR="00262BA9" w:rsidRDefault="00684726">
      <w:pPr>
        <w:pStyle w:val="Chapter"/>
        <w:outlineLvl w:val="1"/>
        <w:rPr>
          <w:bCs w:val="0"/>
        </w:rPr>
      </w:pPr>
      <w:r>
        <w:rPr>
          <w:bCs w:val="0"/>
        </w:rPr>
        <w:t>一、财务报表</w:t>
      </w:r>
    </w:p>
    <w:p w:rsidR="00262BA9" w:rsidRDefault="00684726">
      <w:pPr>
        <w:pStyle w:val="Section"/>
        <w:outlineLvl w:val="2"/>
        <w:rPr>
          <w:bCs w:val="0"/>
          <w:szCs w:val="24"/>
        </w:rPr>
      </w:pPr>
      <w:r>
        <w:rPr>
          <w:bCs w:val="0"/>
          <w:szCs w:val="24"/>
        </w:rPr>
        <w:t>1</w:t>
      </w:r>
      <w:r>
        <w:rPr>
          <w:bCs w:val="0"/>
          <w:szCs w:val="24"/>
        </w:rPr>
        <w:t>、合并资产负债表</w:t>
      </w:r>
    </w:p>
    <w:p w:rsidR="00262BA9" w:rsidRDefault="00684726">
      <w:pPr>
        <w:jc w:val="left"/>
        <w:rPr>
          <w:szCs w:val="24"/>
        </w:rPr>
      </w:pPr>
      <w:r>
        <w:rPr>
          <w:szCs w:val="24"/>
        </w:rPr>
        <w:t>编制单位：北京荣之联科技股份有限公司</w:t>
      </w:r>
    </w:p>
    <w:p w:rsidR="00262BA9" w:rsidRDefault="00684726">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期末余额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期初余额</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695,138,558.32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1,199,141,128.43</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结算备付金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拆出资金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以公允价值计量且其变动计入当期损益的金融资产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16,090,073.20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27,473,011.20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1,120,749,139.34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1,102,205,329.88</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243,903,831.98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194,592,850.50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应收保费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应收分保账款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应收分保合同准备金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45,994,966.89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47,203,054.72</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买入返售金融资产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941,607,042.80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895,778,055.50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持有待售的资产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388,278,301.76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6,183,172.38</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3,451,761,914.29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3,472,576,602.61</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发放贷款及垫款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可供出售金融资产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295,953,345.47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285,535,938.87</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lastRenderedPageBreak/>
              <w:t xml:space="preserve">　　持有至到期投资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6,629,814.92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6,388,437.63</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106,049,636.01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107,199,306.80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552,672,073.50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558,659,794.28</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141,509.43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工程物资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固定资产清理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141,797,157.00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157,343,885.10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82,351,611.12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76,917,258.84</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1,272,360,072.36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1,272,360,072.36</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51,249,363.47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47,724,946.70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31,036,160.25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30,883,266.96</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3,000,000.00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2,543,240,743.53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2,546,012,907.54</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5,995,002,657.82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6,018,589,510.15</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410,000,000.00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221,816,664.53</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向中央银行借款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吸收存款及同业存放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拆入资金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以公允价值计量且其变动计入当期损益的金融负债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747,268.00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165,607,853.34</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542,530,952.53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656,232,379.77</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134,134,859.42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247,797,415.24</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卖出回购金融资产款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应付手续费及佣金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877,508.59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4,537,638.73</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36,828,058.49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43,071,989.76</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lastRenderedPageBreak/>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191,200,104.57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313,278,565.59</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应付分保账款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保险合同准备金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代理买卖证券款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代理承销证券款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持有待售的负债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95,500,000.00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22,000,000.00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1,411,818,751.60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1,674,342,506.96</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343,000,000.00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128,000,000.00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专项应付款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11,352,905.99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11,459,398.20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19,115,461.81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18,419,452.74</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373,468,367.80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157,878,850.94</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1,785,287,119.40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1,832,221,357.90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661,580,313.00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661,580,313.00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2,899,227,582.50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2,899,227,582.50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53,023,910.21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48,964,885.91</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68,171,610.83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68,171,610.83</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lastRenderedPageBreak/>
              <w:t xml:space="preserve">　　一般风险准备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527,172,930.03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507,628,936.30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归属于母公司所有者权益合计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4,209,176,346.57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4,185,573,328.54</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少数股东权益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539,191.85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794,823.71</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4,209,715,538.42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4,186,368,152.25</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5,995,002,657.82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6,018,589,510.15</w:t>
            </w:r>
          </w:p>
        </w:tc>
      </w:tr>
    </w:tbl>
    <w:p w:rsidR="00262BA9" w:rsidRDefault="00684726">
      <w:pPr>
        <w:spacing w:before="300"/>
        <w:rPr>
          <w:szCs w:val="24"/>
        </w:rPr>
      </w:pPr>
      <w:r>
        <w:rPr>
          <w:szCs w:val="24"/>
        </w:rPr>
        <w:t>法定代表人：王东辉</w:t>
      </w:r>
      <w:r>
        <w:rPr>
          <w:szCs w:val="24"/>
        </w:rPr>
        <w:t xml:space="preserve">                     </w:t>
      </w:r>
      <w:r>
        <w:rPr>
          <w:szCs w:val="24"/>
        </w:rPr>
        <w:t>主管会计工作负责人：</w:t>
      </w:r>
      <w:proofErr w:type="gramStart"/>
      <w:r>
        <w:rPr>
          <w:szCs w:val="24"/>
        </w:rPr>
        <w:t>鞠</w:t>
      </w:r>
      <w:proofErr w:type="gramEnd"/>
      <w:r>
        <w:rPr>
          <w:szCs w:val="24"/>
        </w:rPr>
        <w:t>海涛</w:t>
      </w:r>
      <w:r>
        <w:rPr>
          <w:szCs w:val="24"/>
        </w:rPr>
        <w:t xml:space="preserve">                     </w:t>
      </w:r>
      <w:r>
        <w:rPr>
          <w:szCs w:val="24"/>
        </w:rPr>
        <w:t>会计机构负责人：曾媛</w:t>
      </w:r>
    </w:p>
    <w:p w:rsidR="00262BA9" w:rsidRDefault="00684726">
      <w:pPr>
        <w:pStyle w:val="Section"/>
        <w:outlineLvl w:val="2"/>
        <w:rPr>
          <w:bCs w:val="0"/>
          <w:szCs w:val="24"/>
        </w:rPr>
      </w:pPr>
      <w:r>
        <w:rPr>
          <w:bCs w:val="0"/>
          <w:szCs w:val="24"/>
        </w:rPr>
        <w:t>2</w:t>
      </w:r>
      <w:r>
        <w:rPr>
          <w:bCs w:val="0"/>
          <w:szCs w:val="24"/>
        </w:rPr>
        <w:t>、母公司资产负债表</w:t>
      </w:r>
    </w:p>
    <w:p w:rsidR="00262BA9" w:rsidRDefault="00684726">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期末余额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期初余额</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500,094,985.31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818,100,661.30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以公允价值计量且其变动计入当期损益的金融资产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16,090,073.20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27,473,011.20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335,704,176.79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321,276,651.21</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51,029,463.73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48,243,454.11</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113,933,124.62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107,697,215.03</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670,814,562.95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664,655,361.56</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持有待售的资产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380,204,339.73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232,303.15</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2,067,870,726.33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1,987,678,657.56</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可供出售金融资产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280,804,950.35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270,387,543.75</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持有至到期投资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2,783,418,605.10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2,778,177,227.81</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79,422,856.83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80,218,662.00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119,956,896.63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120,949,853.44</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lastRenderedPageBreak/>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工程物资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固定资产清理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47,224,838.98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52,730,767.39</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82,351,611.12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76,917,258.84</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51,249,363.47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47,698,279.67</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12,587,768.23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13,288,481.69</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3,000,000.00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3,460,016,890.71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3,443,368,074.59</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5,527,887,617.04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5,431,046,732.15</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365,000,000.00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175,000,000.00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以公允价值计量且其变动计入当期损益的金融负债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747,268.00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202,424,517.87</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333,225,196.15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374,342,491.34</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92,376,658.93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165,330,230.81</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631,702.98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631,702.98</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7,084,290.26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2,561,701.05</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244,577,337.69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373,073,106.84</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持有待售的负债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73,500,000.00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1,117,142,454.01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1,293,363,750.89</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220,500,000.00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lastRenderedPageBreak/>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专项应付款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11,220,066.26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11,303,816.19</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8,921,992.55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7,509,381.56</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240,642,058.81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18,813,197.75</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1,357,784,512.82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1,312,176,948.64</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661,580,313.00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661,580,313.00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3,012,773,004.32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3,012,773,004.32</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50,557,957.80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42,553,162.19</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64,190,893.95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64,190,893.95</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381,000,935.15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337,772,410.05</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4,170,103,104.22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4,118,869,783.51</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5,527,887,617.04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5,431,046,732.15</w:t>
            </w:r>
          </w:p>
        </w:tc>
      </w:tr>
    </w:tbl>
    <w:p w:rsidR="00262BA9" w:rsidRDefault="00684726">
      <w:pPr>
        <w:pStyle w:val="Section"/>
        <w:outlineLvl w:val="2"/>
        <w:rPr>
          <w:bCs w:val="0"/>
          <w:szCs w:val="24"/>
        </w:rPr>
      </w:pPr>
      <w:r>
        <w:rPr>
          <w:bCs w:val="0"/>
          <w:szCs w:val="24"/>
        </w:rPr>
        <w:t>3</w:t>
      </w:r>
      <w:r>
        <w:rPr>
          <w:bCs w:val="0"/>
          <w:szCs w:val="24"/>
        </w:rPr>
        <w:t>、合并利润表</w:t>
      </w:r>
    </w:p>
    <w:p w:rsidR="00262BA9" w:rsidRDefault="00684726">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080"/>
        <w:gridCol w:w="3210"/>
        <w:gridCol w:w="3277"/>
      </w:tblGrid>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项目</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本期发生额</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上期发生额</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一、营业总收入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536,610,631.85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299,158,267.63</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其中：营业收入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536,610,631.85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299,158,267.63</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已赚保费</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手续费及佣金收入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二、营业总成本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518,873,447.47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297,023,109.79</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其中：营业成本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390,966,144.45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188,778,007.71</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lastRenderedPageBreak/>
              <w:t xml:space="preserve">　　　　　利息支出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手续费及佣金支出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退保金</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赔付支出净额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提取保险合同准备金净额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保单红利支出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分保费用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税金及附加</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942,955.25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695,142.38</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销售费用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32,454,925.11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26,426,443.10</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管理费用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94,183,145.93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72,606,044.97</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财务费用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3,331,136.84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4,068,662.90</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资产减值损失</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-3,004,860.11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4,448,808.73</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加：公允价值变动收益（损失以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投资收益（损失以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1,610,738.24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2,103,203.77</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其中：对联营企业和合营企业的投资收益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-241,377.29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-663,700.70</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汇兑收益（损失以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资产处置收益（损失以</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309,593.88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三、营业利润（亏损以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19,657,516.50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4,238,361.61</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加：营业外收入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8,908,419.90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561,934.73</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减：营业外支出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12,915.63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14,621.86</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四、利润总额（亏损总额以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28,553,020.77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4,785,674.48</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减：所得税费用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9,264,658.90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2,133,096.58</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五、净利润（净亏损以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19,288,361.87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2,652,577.90</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（一）持续经营净利润（净亏损以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19,288,361.87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2,652,577.90</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（二）终止经营净利润（净亏损以</w:t>
            </w:r>
            <w:r>
              <w:rPr>
                <w:szCs w:val="24"/>
              </w:rPr>
              <w:t>“</w:t>
            </w:r>
            <w:r>
              <w:rPr>
                <w:szCs w:val="24"/>
              </w:rPr>
              <w:t>－</w:t>
            </w:r>
            <w:r>
              <w:rPr>
                <w:szCs w:val="24"/>
              </w:rPr>
              <w:t>”</w:t>
            </w:r>
            <w:r>
              <w:rPr>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归属于母公司所有者的净利润</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19,543,993.73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2,687,950.24</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少数股东损益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-255,631.86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-35,372.34</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lastRenderedPageBreak/>
              <w:t>六、其他综合收益的税后净额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4,059,024.30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-760,133.35</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归属母公司所有者的其他综合收益的税后净额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4,059,024.30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-760,133.35</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（一）以后不能重分类进损益的其他综合收益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w:t>
            </w:r>
            <w:r>
              <w:rPr>
                <w:szCs w:val="24"/>
              </w:rPr>
              <w:t>1.</w:t>
            </w:r>
            <w:r>
              <w:rPr>
                <w:szCs w:val="24"/>
              </w:rPr>
              <w:t>重新计量设定受益计划净负债或净资产的变动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w:t>
            </w:r>
            <w:r>
              <w:rPr>
                <w:szCs w:val="24"/>
              </w:rPr>
              <w:t>2.</w:t>
            </w:r>
            <w:r>
              <w:rPr>
                <w:szCs w:val="24"/>
              </w:rPr>
              <w:t>权益法下在被投资单位不能重分类进损益的其他综合收益中享有的份额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（二）以后将重分类进损益的其他综合收益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4,059,024.30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-760,133.35</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w:t>
            </w:r>
            <w:r>
              <w:rPr>
                <w:szCs w:val="24"/>
              </w:rPr>
              <w:t>1.</w:t>
            </w:r>
            <w:r>
              <w:rPr>
                <w:szCs w:val="24"/>
              </w:rPr>
              <w:t>权益法下在被投资单位以后将重分类进损益的其他综合收益中享有的份额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w:t>
            </w:r>
            <w:r>
              <w:rPr>
                <w:szCs w:val="24"/>
              </w:rPr>
              <w:t>2.</w:t>
            </w:r>
            <w:r>
              <w:rPr>
                <w:szCs w:val="24"/>
              </w:rPr>
              <w:t>可供出售金融资产公允价值变动损益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8,004,795.61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w:t>
            </w:r>
            <w:r>
              <w:rPr>
                <w:szCs w:val="24"/>
              </w:rPr>
              <w:t>3.</w:t>
            </w:r>
            <w:r>
              <w:rPr>
                <w:szCs w:val="24"/>
              </w:rPr>
              <w:t>持有至到期</w:t>
            </w:r>
            <w:proofErr w:type="gramStart"/>
            <w:r>
              <w:rPr>
                <w:szCs w:val="24"/>
              </w:rPr>
              <w:t>投资重</w:t>
            </w:r>
            <w:proofErr w:type="gramEnd"/>
            <w:r>
              <w:rPr>
                <w:szCs w:val="24"/>
              </w:rPr>
              <w:t>分类为可供出售金融资产损益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w:t>
            </w:r>
            <w:r>
              <w:rPr>
                <w:szCs w:val="24"/>
              </w:rPr>
              <w:t>4.</w:t>
            </w:r>
            <w:r>
              <w:rPr>
                <w:szCs w:val="24"/>
              </w:rPr>
              <w:t>现金流量套期损益的有效部分</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w:t>
            </w:r>
            <w:r>
              <w:rPr>
                <w:szCs w:val="24"/>
              </w:rPr>
              <w:t>5.</w:t>
            </w:r>
            <w:r>
              <w:rPr>
                <w:szCs w:val="24"/>
              </w:rPr>
              <w:t>外币财务报表折算差额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-3,945,771.31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-760,133.35</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w:t>
            </w:r>
            <w:r>
              <w:rPr>
                <w:szCs w:val="24"/>
              </w:rPr>
              <w:t>6.</w:t>
            </w:r>
            <w:r>
              <w:rPr>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归属于少数股东的其他综合收益的税后净额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七、综合收益总额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23,347,386.17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1,892,444.55</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归属于母公司所有者的综合收益总额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23,603,018.03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1,927,816.89</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归属于少数股东的综合收益总额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-255,631.86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-35,372.34</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八、每股收益：</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（一）基本每股收益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0.0295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0.0042</w:t>
            </w:r>
          </w:p>
        </w:tc>
      </w:tr>
      <w:tr w:rsidR="00262BA9">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（二）稀释每股收益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0.0295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0.0042</w:t>
            </w:r>
          </w:p>
        </w:tc>
      </w:tr>
    </w:tbl>
    <w:p w:rsidR="00262BA9" w:rsidRDefault="00684726">
      <w:pPr>
        <w:jc w:val="left"/>
        <w:rPr>
          <w:szCs w:val="24"/>
        </w:rPr>
      </w:pPr>
      <w:r>
        <w:rPr>
          <w:szCs w:val="24"/>
        </w:rPr>
        <w:t>本期发生同</w:t>
      </w:r>
      <w:proofErr w:type="gramStart"/>
      <w:r>
        <w:rPr>
          <w:szCs w:val="24"/>
        </w:rPr>
        <w:t>一控制</w:t>
      </w:r>
      <w:proofErr w:type="gramEnd"/>
      <w:r>
        <w:rPr>
          <w:szCs w:val="24"/>
        </w:rPr>
        <w:t>下企业合并的，被合并方在合并前实现的净利润为：元，上期被合并方实现的净利润为：元。</w:t>
      </w:r>
    </w:p>
    <w:p w:rsidR="00262BA9" w:rsidRDefault="00684726">
      <w:pPr>
        <w:spacing w:before="300"/>
        <w:rPr>
          <w:szCs w:val="24"/>
        </w:rPr>
      </w:pPr>
      <w:r>
        <w:rPr>
          <w:szCs w:val="24"/>
        </w:rPr>
        <w:t>法定代表人：王东辉</w:t>
      </w:r>
      <w:r>
        <w:rPr>
          <w:szCs w:val="24"/>
        </w:rPr>
        <w:t xml:space="preserve">                     </w:t>
      </w:r>
      <w:r>
        <w:rPr>
          <w:szCs w:val="24"/>
        </w:rPr>
        <w:t>主管会计工作负责人：</w:t>
      </w:r>
      <w:proofErr w:type="gramStart"/>
      <w:r>
        <w:rPr>
          <w:szCs w:val="24"/>
        </w:rPr>
        <w:t>鞠</w:t>
      </w:r>
      <w:proofErr w:type="gramEnd"/>
      <w:r>
        <w:rPr>
          <w:szCs w:val="24"/>
        </w:rPr>
        <w:t>海涛</w:t>
      </w:r>
      <w:r>
        <w:rPr>
          <w:szCs w:val="24"/>
        </w:rPr>
        <w:t xml:space="preserve">                     </w:t>
      </w:r>
      <w:r>
        <w:rPr>
          <w:szCs w:val="24"/>
        </w:rPr>
        <w:t>会计机构负责人：曾媛</w:t>
      </w:r>
    </w:p>
    <w:p w:rsidR="00262BA9" w:rsidRDefault="00684726">
      <w:pPr>
        <w:pStyle w:val="Section"/>
        <w:outlineLvl w:val="2"/>
        <w:rPr>
          <w:bCs w:val="0"/>
          <w:szCs w:val="24"/>
        </w:rPr>
      </w:pPr>
      <w:r>
        <w:rPr>
          <w:bCs w:val="0"/>
          <w:szCs w:val="24"/>
        </w:rPr>
        <w:t>4</w:t>
      </w:r>
      <w:r>
        <w:rPr>
          <w:bCs w:val="0"/>
          <w:szCs w:val="24"/>
        </w:rPr>
        <w:t>、母公司利润表</w:t>
      </w:r>
    </w:p>
    <w:p w:rsidR="00262BA9" w:rsidRDefault="00684726">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lastRenderedPageBreak/>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本期发生额</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上期发生额</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一、营业收入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319,747,603.12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258,872,141.97</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减：营业成本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223,214,048.74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181,948,464.93</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728,450.48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583,318.18</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19,560,373.66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18,575,468.02</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41,254,612.63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39,263,829.06</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1,905,395.89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2,235,558.15</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资产减值损失</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-7,443,400.06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3,301,688.59</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加：公允价值变动收益（损失以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投资收益（损失以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1,597,379.34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2,104,598.11</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-241,377.29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-663,700.70</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资产处置收益（损失以</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其他收益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83,749.93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二、营业利润（亏损以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42,209,251.05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15,068,413.15</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8,902,384.44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466,766.42</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11,077.59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三、利润总额（亏损总额以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51,100,557.90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15,535,179.57</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7,872,032.80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2,641,224.26</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四、净利润（净亏损以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43,228,525.10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12,893,955.31</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（一）持续经营净利润（净亏损以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43,228,525.10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12,893,955.31</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（二）终止经营净利润（净亏损以</w:t>
            </w:r>
            <w:r>
              <w:rPr>
                <w:szCs w:val="24"/>
              </w:rPr>
              <w:t>“</w:t>
            </w:r>
            <w:r>
              <w:rPr>
                <w:szCs w:val="24"/>
              </w:rPr>
              <w:t>－</w:t>
            </w:r>
            <w:r>
              <w:rPr>
                <w:szCs w:val="24"/>
              </w:rPr>
              <w:t>”</w:t>
            </w:r>
            <w:r>
              <w:rPr>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五、其他综合收益的税后净额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8,004,795.61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（一）以后不能重分类进损益的其他综合收益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w:t>
            </w:r>
            <w:r>
              <w:rPr>
                <w:szCs w:val="24"/>
              </w:rPr>
              <w:t>1.</w:t>
            </w:r>
            <w:r>
              <w:rPr>
                <w:szCs w:val="24"/>
              </w:rPr>
              <w:t>重新计量设定受益计划净负债或净资产的变动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w:t>
            </w:r>
            <w:r>
              <w:rPr>
                <w:szCs w:val="24"/>
              </w:rPr>
              <w:t>2.</w:t>
            </w:r>
            <w:r>
              <w:rPr>
                <w:szCs w:val="24"/>
              </w:rPr>
              <w:t>权益法下在被投资单位不能重分类进损益的其他综合收益中享有的份额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（二）以后将重分类进损益的其</w:t>
            </w:r>
            <w:r>
              <w:rPr>
                <w:szCs w:val="24"/>
              </w:rPr>
              <w:lastRenderedPageBreak/>
              <w:t>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lastRenderedPageBreak/>
              <w:t>8,004,795.61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lastRenderedPageBreak/>
              <w:t xml:space="preserve">　　　　　</w:t>
            </w:r>
            <w:r>
              <w:rPr>
                <w:szCs w:val="24"/>
              </w:rPr>
              <w:t>1.</w:t>
            </w:r>
            <w:r>
              <w:rPr>
                <w:szCs w:val="24"/>
              </w:rPr>
              <w:t>权益法下在被投资单位以后将重分类进损益的其他综合收益中享有的份额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w:t>
            </w:r>
            <w:r>
              <w:rPr>
                <w:szCs w:val="24"/>
              </w:rPr>
              <w:t>2.</w:t>
            </w:r>
            <w:r>
              <w:rPr>
                <w:szCs w:val="24"/>
              </w:rPr>
              <w:t>可供出售金融资产公允价值变动损益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8,004,795.61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w:t>
            </w:r>
            <w:r>
              <w:rPr>
                <w:szCs w:val="24"/>
              </w:rPr>
              <w:t>3.</w:t>
            </w:r>
            <w:r>
              <w:rPr>
                <w:szCs w:val="24"/>
              </w:rPr>
              <w:t>持有至到期</w:t>
            </w:r>
            <w:proofErr w:type="gramStart"/>
            <w:r>
              <w:rPr>
                <w:szCs w:val="24"/>
              </w:rPr>
              <w:t>投资重</w:t>
            </w:r>
            <w:proofErr w:type="gramEnd"/>
            <w:r>
              <w:rPr>
                <w:szCs w:val="24"/>
              </w:rPr>
              <w:t>分类为可供出售金融资产损益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w:t>
            </w:r>
            <w:r>
              <w:rPr>
                <w:szCs w:val="24"/>
              </w:rPr>
              <w:t>4.</w:t>
            </w:r>
            <w:r>
              <w:rPr>
                <w:szCs w:val="24"/>
              </w:rPr>
              <w:t>现金流量套期损益的有效部分</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w:t>
            </w:r>
            <w:r>
              <w:rPr>
                <w:szCs w:val="24"/>
              </w:rPr>
              <w:t>5.</w:t>
            </w:r>
            <w:r>
              <w:rPr>
                <w:szCs w:val="24"/>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w:t>
            </w:r>
            <w:r>
              <w:rPr>
                <w:szCs w:val="24"/>
              </w:rPr>
              <w:t>6.</w:t>
            </w:r>
            <w:r>
              <w:rPr>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六、综合收益总额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51,233,320.71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12,893,955.31</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七、每股收益：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0.0653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0.0204</w:t>
            </w:r>
          </w:p>
        </w:tc>
      </w:tr>
      <w:tr w:rsidR="00262BA9">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0.0653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0.0203</w:t>
            </w:r>
          </w:p>
        </w:tc>
      </w:tr>
    </w:tbl>
    <w:p w:rsidR="00262BA9" w:rsidRDefault="00684726">
      <w:pPr>
        <w:pStyle w:val="Section"/>
        <w:outlineLvl w:val="2"/>
        <w:rPr>
          <w:bCs w:val="0"/>
          <w:szCs w:val="24"/>
        </w:rPr>
      </w:pPr>
      <w:r>
        <w:rPr>
          <w:bCs w:val="0"/>
          <w:szCs w:val="24"/>
        </w:rPr>
        <w:t>5</w:t>
      </w:r>
      <w:r>
        <w:rPr>
          <w:bCs w:val="0"/>
          <w:szCs w:val="24"/>
        </w:rPr>
        <w:t>、合并现金流量表</w:t>
      </w:r>
    </w:p>
    <w:p w:rsidR="00262BA9" w:rsidRDefault="00684726">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22"/>
        <w:gridCol w:w="3253"/>
        <w:gridCol w:w="3392"/>
      </w:tblGrid>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项目</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本期发生额</w:t>
            </w: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上期发生额</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一、经营活动产生的现金流量：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销售商品、提供劳务收到的现金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455,654,466.73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248,041,155.11</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客户存款和同业存放款项净增加额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向中央银行借款净增加额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向其他金融机构拆入资金净增加额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收到原保险合同保费取得的现金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收到再保险业务现金净额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保户储金及投资款净增加额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处置以公允价值计量且其变动计入当期损益的金融资产净增加额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收取利息、手续费及佣金的现金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拆入资金净增加额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lastRenderedPageBreak/>
              <w:t xml:space="preserve">　　回购业务资金净增加额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收到的税费返还</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194,480.31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107,596.57</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收到其他与经营活动有关的现金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57,302,246.07</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11,608,885.30</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经营活动现金流入小计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513,151,193.11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259,757,636.98</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购买商品、接受劳务支付的现金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819,611,427.70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321,961,422.50</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客户贷款及垫款净增加额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存放中央银行和同业款项净增加额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支付原保险合同赔付款项的现金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支付利息、手续费及佣金的现金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支付保单红利的现金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支付给职工以及为职工支付的现金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83,619,111.66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60,701,401.90</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支付的各项税费</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26,407,557.54</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22,428,960.15</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支付其他与经营活动有关的现金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52,220,054.76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34,299,752.69</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经营活动现金流出小计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981,858,151.66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439,391,537.24</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经营活动产生的现金流量净额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-468,706,958.55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-179,633,900.26</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二、投资活动产生的现金流量：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收回投资收到的现金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7,000,000.00</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取得投资收益收到的现金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1,450,721.07</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2,766,904.47</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处置固定资产、无形资产和其他长期资产收回的现金净额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605.29</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处置子公司及其他营业单位收到的现金净额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收到其他与投资活动有关的现金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投资活动现金流入小计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2,451,326.36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9,766,904.47</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购建固定资产、无形资产和其他长期资产支付的现金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17,974,711.96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28,965,752.60</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投资支付的现金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501,000,000.00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277,144,625.66</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质押贷款净增加额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取得子公司及其他营业单位支</w:t>
            </w:r>
            <w:r>
              <w:rPr>
                <w:szCs w:val="24"/>
              </w:rPr>
              <w:lastRenderedPageBreak/>
              <w:t>付的现金净额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lastRenderedPageBreak/>
              <w:t xml:space="preserve">　　支付其他与投资活动有关的现金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投资活动现金流出小计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518,974,711.96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306,110,378.26</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投资活动产生的现金流量净额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-516,523,385.60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-296,343,473.79</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三、筹资活动产生的现金流量：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吸收投资收到的现金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其中：子公司吸收少数股东投资收到的现金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取得借款收到的现金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634,000,000.00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225,000,000.00</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发行债券收到的现金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收到其他与筹资活动有关的现金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筹资活动现金流入小计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634,000,000.00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225,000,000.00</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偿还债务支付的现金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120,500,000.00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32,230,410.00</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分配股利、利润或偿付利息支付的现金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4,998,746.02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4,941,515.12</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其中：子公司支付给少数股东的股利、利润</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支付其他与筹资活动有关的现金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筹资活动现金流出小计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125,498,746.02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37,171,925.12</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筹资活动产生的现金流量净额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508,501,253.98</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187,828,074.88</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四、汇率变动对现金及现金等价物的影响</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-1,956,195.52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-569,943.45</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五、现金及现金等价物净增加额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-478,685,285.69</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-288,719,242.62</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加：期初现金及现金等价物余额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1,128,005,693.65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487,053,829.70</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六、期末现金及现金等价物余额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649,320,407.96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198,334,587.08</w:t>
            </w:r>
          </w:p>
        </w:tc>
      </w:tr>
    </w:tbl>
    <w:p w:rsidR="00262BA9" w:rsidRDefault="00684726">
      <w:pPr>
        <w:pStyle w:val="Section"/>
        <w:outlineLvl w:val="2"/>
        <w:rPr>
          <w:bCs w:val="0"/>
          <w:szCs w:val="24"/>
        </w:rPr>
      </w:pPr>
      <w:r>
        <w:rPr>
          <w:bCs w:val="0"/>
          <w:szCs w:val="24"/>
        </w:rPr>
        <w:t>6</w:t>
      </w:r>
      <w:r>
        <w:rPr>
          <w:bCs w:val="0"/>
          <w:szCs w:val="24"/>
        </w:rPr>
        <w:t>、母公司现金流量表</w:t>
      </w:r>
    </w:p>
    <w:p w:rsidR="00262BA9" w:rsidRDefault="00684726">
      <w:pPr>
        <w:jc w:val="right"/>
        <w:rPr>
          <w:szCs w:val="24"/>
        </w:rPr>
      </w:pPr>
      <w:r>
        <w:rPr>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22"/>
        <w:gridCol w:w="3253"/>
        <w:gridCol w:w="3392"/>
      </w:tblGrid>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项目</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本期发生额</w:t>
            </w: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center"/>
              <w:rPr>
                <w:szCs w:val="24"/>
              </w:rPr>
            </w:pPr>
            <w:r>
              <w:rPr>
                <w:szCs w:val="24"/>
              </w:rPr>
              <w:t>上期发生额</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一、经营活动产生的现金流量：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销售商品、提供劳务收到的现金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297,757,811.88</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241,155,381.83</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lastRenderedPageBreak/>
              <w:t xml:space="preserve">　　收到的税费返还</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41,880.34</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收到其他与经营活动有关的现金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83,520,019.20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183,334,804.43</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经营活动现金流入小计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381,277,831.08</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424,532,066.60</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购买商品、接受劳务支付的现金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522,410,776.12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344,970,424.95</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支付给职工以及为职工支付的现金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36,909,603.13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31,399,069.70</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支付的各项税费</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9,972,558.07</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9,680,425.97</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支付其他与经营活动有关的现金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63,878,930.06</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30,768,933.30</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经营活动现金流出小计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633,171,867.38</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416,818,853.92</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经营活动产生的现金流量净额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-251,894,036.30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7,713,212.68</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二、投资活动产生的现金流量：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收回投资收到的现金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取得投资收益收到的现金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1,437,362.17</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2,768,298.81</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处置固定资产、无形资产和其他长期资产收回的现金净额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292.21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处置子公司及其他营业单位收到的现金净额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收到其他与投资活动有关的现金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投资活动现金流入小计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1,437,654.38</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2,768,298.81</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购建固定资产、无形资产和其他长期资产支付的现金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17,338,201.71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24,615,137.36</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投资支付的现金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506,000,000.00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236,000,000.00</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取得子公司及其他营业单位支付的现金净额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支付其他与投资活动有关的现金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投资活动现金流出小计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523,338,201.71</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260,615,137.36</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投资活动产生的现金流量净额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-521,900,547.33</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-257,846,838.55</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三、筹资活动产生的现金流量：</w:t>
            </w:r>
          </w:p>
        </w:tc>
        <w:tc>
          <w:tcPr>
            <w:tcW w:w="3253"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262BA9">
            <w:pPr>
              <w:jc w:val="lef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吸收投资收到的现金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取得借款收到的现金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589,000,000.00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225,000,000.00</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发行债券收到的现金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lastRenderedPageBreak/>
              <w:t xml:space="preserve">　　收到其他与筹资活动有关的现金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筹资活动现金流入小计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589,000,000.00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225,000,000.00</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偿还债务支付的现金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105,000,000.00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8,000,000.00</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分配股利、利润或偿付利息支付的现金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2,894,121.02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2,593,612.08</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支付其他与筹资活动有关的现金</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筹资活动现金流出小计</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107,894,121.02</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10,593,612.08</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筹资活动产生的现金流量净额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481,105,878.98</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214,406,387.92</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四、汇率变动对现金及现金等价物的影响</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262BA9">
            <w:pPr>
              <w:jc w:val="right"/>
              <w:rPr>
                <w:szCs w:val="24"/>
              </w:rPr>
            </w:pP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五、现金及现金等价物净增加额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-292,688,704.65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-35,727,237.95</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 xml:space="preserve">　　加：期初现金及现金等价物余额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767,851,749.90</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93,693,026.05</w:t>
            </w:r>
          </w:p>
        </w:tc>
      </w:tr>
      <w:tr w:rsidR="00262BA9">
        <w:tc>
          <w:tcPr>
            <w:tcW w:w="2922" w:type="dxa"/>
            <w:tcBorders>
              <w:top w:val="single" w:sz="4" w:space="0" w:color="auto"/>
              <w:left w:val="single" w:sz="4" w:space="0" w:color="auto"/>
              <w:bottom w:val="single" w:sz="4" w:space="0" w:color="auto"/>
              <w:right w:val="single" w:sz="4" w:space="0" w:color="auto"/>
            </w:tcBorders>
            <w:shd w:val="clear" w:color="auto" w:fill="D3D3D3"/>
            <w:vAlign w:val="center"/>
          </w:tcPr>
          <w:p w:rsidR="00262BA9" w:rsidRDefault="00684726">
            <w:pPr>
              <w:jc w:val="left"/>
              <w:rPr>
                <w:szCs w:val="24"/>
              </w:rPr>
            </w:pPr>
            <w:r>
              <w:rPr>
                <w:szCs w:val="24"/>
              </w:rPr>
              <w:t>六、期末现金及现金等价物余额</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475,163,045.25</w:t>
            </w:r>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262BA9" w:rsidRDefault="00684726">
            <w:pPr>
              <w:jc w:val="right"/>
              <w:rPr>
                <w:szCs w:val="24"/>
              </w:rPr>
            </w:pPr>
            <w:r>
              <w:rPr>
                <w:szCs w:val="24"/>
              </w:rPr>
              <w:t>57,965,788.10</w:t>
            </w:r>
          </w:p>
        </w:tc>
      </w:tr>
    </w:tbl>
    <w:p w:rsidR="00262BA9" w:rsidRDefault="00684726">
      <w:pPr>
        <w:pStyle w:val="Chapter"/>
        <w:outlineLvl w:val="1"/>
        <w:rPr>
          <w:bCs w:val="0"/>
        </w:rPr>
      </w:pPr>
      <w:r>
        <w:rPr>
          <w:bCs w:val="0"/>
        </w:rPr>
        <w:t>二、审计报告</w:t>
      </w:r>
    </w:p>
    <w:p w:rsidR="00262BA9" w:rsidRDefault="00684726">
      <w:pPr>
        <w:jc w:val="left"/>
        <w:rPr>
          <w:szCs w:val="24"/>
        </w:rPr>
      </w:pPr>
      <w:r>
        <w:rPr>
          <w:szCs w:val="24"/>
        </w:rPr>
        <w:t>第一季度报告是否经过审计</w:t>
      </w:r>
    </w:p>
    <w:p w:rsidR="00262BA9" w:rsidRDefault="00684726">
      <w:pPr>
        <w:jc w:val="left"/>
        <w:rPr>
          <w:szCs w:val="24"/>
        </w:rPr>
      </w:pPr>
      <w:r>
        <w:rPr>
          <w:szCs w:val="24"/>
        </w:rPr>
        <w:t xml:space="preserve">□ </w:t>
      </w:r>
      <w:r>
        <w:rPr>
          <w:szCs w:val="24"/>
        </w:rPr>
        <w:t>是</w:t>
      </w:r>
      <w:r>
        <w:rPr>
          <w:szCs w:val="24"/>
        </w:rPr>
        <w:t xml:space="preserve"> √ </w:t>
      </w:r>
      <w:r>
        <w:rPr>
          <w:szCs w:val="24"/>
        </w:rPr>
        <w:t>否</w:t>
      </w:r>
      <w:r>
        <w:rPr>
          <w:szCs w:val="24"/>
        </w:rPr>
        <w:t xml:space="preserve"> </w:t>
      </w:r>
    </w:p>
    <w:p w:rsidR="00684726" w:rsidRDefault="00684726">
      <w:pPr>
        <w:jc w:val="left"/>
        <w:rPr>
          <w:szCs w:val="24"/>
        </w:rPr>
      </w:pPr>
      <w:r>
        <w:rPr>
          <w:szCs w:val="24"/>
        </w:rPr>
        <w:t>公司第一季度报告未经审计。</w:t>
      </w:r>
    </w:p>
    <w:sectPr w:rsidR="00684726">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B0D" w:rsidRDefault="00B81B0D">
      <w:pPr>
        <w:spacing w:before="0" w:after="0"/>
      </w:pPr>
      <w:r>
        <w:separator/>
      </w:r>
    </w:p>
  </w:endnote>
  <w:endnote w:type="continuationSeparator" w:id="0">
    <w:p w:rsidR="00B81B0D" w:rsidRDefault="00B81B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A9" w:rsidRDefault="00684726">
    <w:pPr>
      <w:pStyle w:val="a5"/>
    </w:pPr>
    <w:r>
      <w:fldChar w:fldCharType="begin"/>
    </w:r>
    <w:r>
      <w:instrText xml:space="preserve"> PAGE </w:instrText>
    </w:r>
    <w:r>
      <w:fldChar w:fldCharType="separate"/>
    </w:r>
    <w:r w:rsidR="00B21525">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B0D" w:rsidRDefault="00B81B0D">
      <w:pPr>
        <w:spacing w:before="0" w:after="0"/>
      </w:pPr>
      <w:r>
        <w:separator/>
      </w:r>
    </w:p>
  </w:footnote>
  <w:footnote w:type="continuationSeparator" w:id="0">
    <w:p w:rsidR="00B81B0D" w:rsidRDefault="00B81B0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A9" w:rsidRDefault="00684726">
    <w:pPr>
      <w:pStyle w:val="a4"/>
    </w:pPr>
    <w:r>
      <w:t>北京荣之联科技股份有限公司</w:t>
    </w:r>
    <w:r>
      <w:t>2018</w:t>
    </w:r>
    <w:r>
      <w:t>年第一季度报告全文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A5198"/>
    <w:multiLevelType w:val="hybridMultilevel"/>
    <w:tmpl w:val="C1A67138"/>
    <w:lvl w:ilvl="0" w:tplc="649C36B2">
      <w:start w:val="1"/>
      <w:numFmt w:val="decimal"/>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
    <w:nsid w:val="66145093"/>
    <w:multiLevelType w:val="hybridMultilevel"/>
    <w:tmpl w:val="C14CF1DC"/>
    <w:lvl w:ilvl="0" w:tplc="83248E9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420"/>
  <w:doNotHyphenateCaps/>
  <w:drawingGridHorizontalSpacing w:val="9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81"/>
    <w:rsid w:val="00077DC2"/>
    <w:rsid w:val="001D25DE"/>
    <w:rsid w:val="00262BA9"/>
    <w:rsid w:val="002C40B5"/>
    <w:rsid w:val="005F5F59"/>
    <w:rsid w:val="00684726"/>
    <w:rsid w:val="006E5E24"/>
    <w:rsid w:val="006F6718"/>
    <w:rsid w:val="00A16EB4"/>
    <w:rsid w:val="00A64B05"/>
    <w:rsid w:val="00B21525"/>
    <w:rsid w:val="00B379ED"/>
    <w:rsid w:val="00B57D27"/>
    <w:rsid w:val="00B81B0D"/>
    <w:rsid w:val="00C05C81"/>
    <w:rsid w:val="00CC5139"/>
    <w:rsid w:val="00CC77C0"/>
    <w:rsid w:val="00F50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A8E07E1-8139-475A-840A-FE606A9C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rPr>
      <w:rFonts w:asciiTheme="majorHAnsi" w:eastAsia="宋体" w:hAnsiTheme="majorHAnsi" w:cstheme="majorBidi"/>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cs="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9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2888</Words>
  <Characters>16465</Characters>
  <Application>Microsoft Office Word</Application>
  <DocSecurity>0</DocSecurity>
  <Lines>137</Lines>
  <Paragraphs>38</Paragraphs>
  <ScaleCrop>false</ScaleCrop>
  <Company/>
  <LinksUpToDate>false</LinksUpToDate>
  <CharactersWithSpaces>19315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北京荣之联科技股份有限公司2018年第一季度报告全文</dc:title>
  <dc:subject/>
  <dc:creator>北京荣之联科技股份有限公司</dc:creator>
  <cp:keywords/>
  <dc:description/>
  <cp:lastModifiedBy>huying@ronglian.com</cp:lastModifiedBy>
  <cp:revision>4</cp:revision>
  <dcterms:created xsi:type="dcterms:W3CDTF">2018-04-26T10:44:00Z</dcterms:created>
  <dcterms:modified xsi:type="dcterms:W3CDTF">2018-04-26T11:49:00Z</dcterms:modified>
</cp:coreProperties>
</file>